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B0B" w:rsidRDefault="00DC6B0B">
      <w:pPr>
        <w:jc w:val="both"/>
        <w:rPr>
          <w:rFonts w:ascii="Times New Roman" w:hAnsi="Times New Roman"/>
        </w:rPr>
      </w:pPr>
      <w:proofErr w:type="gramStart"/>
      <w:r>
        <w:rPr>
          <w:rFonts w:ascii="Times New Roman" w:hAnsi="Times New Roman"/>
        </w:rPr>
        <w:t>На основу члана 32.</w:t>
      </w:r>
      <w:proofErr w:type="gramEnd"/>
      <w:r>
        <w:rPr>
          <w:rFonts w:ascii="Times New Roman" w:hAnsi="Times New Roman"/>
        </w:rPr>
        <w:t xml:space="preserve"> Закона о локалној самоуправи (“Службени гласник РС”, број 129/07…47/</w:t>
      </w:r>
      <w:proofErr w:type="gramStart"/>
      <w:r>
        <w:rPr>
          <w:rFonts w:ascii="Times New Roman" w:hAnsi="Times New Roman"/>
        </w:rPr>
        <w:t>2018 )</w:t>
      </w:r>
      <w:proofErr w:type="gramEnd"/>
      <w:r>
        <w:rPr>
          <w:rFonts w:ascii="Times New Roman" w:hAnsi="Times New Roman"/>
        </w:rPr>
        <w:t>, члан 11. Закона о финансирању локалне самоуправе (“Службени гласник РС”, број 62/2006…89/</w:t>
      </w:r>
      <w:proofErr w:type="gramStart"/>
      <w:r>
        <w:rPr>
          <w:rFonts w:ascii="Times New Roman" w:hAnsi="Times New Roman"/>
        </w:rPr>
        <w:t>2018 )</w:t>
      </w:r>
      <w:proofErr w:type="gramEnd"/>
      <w:r>
        <w:rPr>
          <w:rFonts w:ascii="Times New Roman" w:hAnsi="Times New Roman"/>
        </w:rPr>
        <w:t xml:space="preserve">, члана 162. </w:t>
      </w:r>
      <w:proofErr w:type="gramStart"/>
      <w:r>
        <w:rPr>
          <w:rFonts w:ascii="Times New Roman" w:hAnsi="Times New Roman"/>
        </w:rPr>
        <w:t>став</w:t>
      </w:r>
      <w:proofErr w:type="gramEnd"/>
      <w:r>
        <w:rPr>
          <w:rFonts w:ascii="Times New Roman" w:hAnsi="Times New Roman"/>
        </w:rPr>
        <w:t xml:space="preserve"> 2. </w:t>
      </w:r>
      <w:proofErr w:type="gramStart"/>
      <w:r>
        <w:rPr>
          <w:rFonts w:ascii="Times New Roman" w:hAnsi="Times New Roman"/>
        </w:rPr>
        <w:t>Статута града Врања (Службени гласник града Врања бр. 37/18) и члана 14.</w:t>
      </w:r>
      <w:proofErr w:type="gramEnd"/>
      <w:r>
        <w:rPr>
          <w:rFonts w:ascii="Times New Roman" w:hAnsi="Times New Roman"/>
        </w:rPr>
        <w:t xml:space="preserve"> </w:t>
      </w:r>
      <w:proofErr w:type="gramStart"/>
      <w:r>
        <w:rPr>
          <w:rFonts w:ascii="Times New Roman" w:hAnsi="Times New Roman"/>
        </w:rPr>
        <w:t>став</w:t>
      </w:r>
      <w:proofErr w:type="gramEnd"/>
      <w:r>
        <w:rPr>
          <w:rFonts w:ascii="Times New Roman" w:hAnsi="Times New Roman"/>
        </w:rPr>
        <w:t xml:space="preserve"> 8. </w:t>
      </w:r>
      <w:proofErr w:type="gramStart"/>
      <w:r>
        <w:rPr>
          <w:rFonts w:ascii="Times New Roman" w:hAnsi="Times New Roman"/>
        </w:rPr>
        <w:t>у</w:t>
      </w:r>
      <w:proofErr w:type="gramEnd"/>
      <w:r>
        <w:rPr>
          <w:rFonts w:ascii="Times New Roman" w:hAnsi="Times New Roman"/>
        </w:rPr>
        <w:t xml:space="preserve"> вези члана 8 и члана 10. Одлуке о организацији Градске управе Града Врања, (“Службени гласник Пчињског округа”, број 29/08 и “Службени гласник Града Врања”, број 35/16 и 23/2017), Скупштина Града Врања, на седници од</w:t>
      </w:r>
      <w:r w:rsidR="00E279BE">
        <w:rPr>
          <w:rFonts w:ascii="Times New Roman" w:hAnsi="Times New Roman"/>
        </w:rPr>
        <w:t xml:space="preserve"> </w:t>
      </w:r>
      <w:r w:rsidR="00E279BE">
        <w:rPr>
          <w:rFonts w:ascii="Times New Roman" w:hAnsi="Times New Roman"/>
          <w:lang w:val="sr-Cyrl-CS"/>
        </w:rPr>
        <w:t>25.01.2019</w:t>
      </w:r>
      <w:r>
        <w:rPr>
          <w:rFonts w:ascii="Times New Roman" w:hAnsi="Times New Roman"/>
        </w:rPr>
        <w:t>.године, донела је</w:t>
      </w:r>
    </w:p>
    <w:p w:rsidR="00DC6B0B" w:rsidRDefault="00DC6B0B">
      <w:pPr>
        <w:rPr>
          <w:rFonts w:ascii="Times New Roman" w:hAnsi="Times New Roman"/>
          <w:b/>
          <w:sz w:val="26"/>
        </w:rPr>
      </w:pPr>
      <w:r>
        <w:rPr>
          <w:rFonts w:ascii="Times New Roman" w:hAnsi="Times New Roman"/>
          <w:b/>
          <w:sz w:val="26"/>
        </w:rPr>
        <w:t xml:space="preserve">                                                       </w:t>
      </w:r>
    </w:p>
    <w:p w:rsidR="00DC6B0B" w:rsidRDefault="00DC6B0B">
      <w:pPr>
        <w:rPr>
          <w:rFonts w:ascii="Times New Roman" w:hAnsi="Times New Roman"/>
          <w:b/>
          <w:sz w:val="26"/>
        </w:rPr>
      </w:pPr>
    </w:p>
    <w:p w:rsidR="00DC6B0B" w:rsidRDefault="00DC6B0B">
      <w:pPr>
        <w:jc w:val="center"/>
        <w:rPr>
          <w:rFonts w:ascii="Times New Roman" w:hAnsi="Times New Roman"/>
          <w:b/>
          <w:sz w:val="26"/>
        </w:rPr>
      </w:pPr>
      <w:r>
        <w:rPr>
          <w:rFonts w:ascii="Times New Roman" w:hAnsi="Times New Roman"/>
          <w:b/>
          <w:sz w:val="26"/>
        </w:rPr>
        <w:t>ОДЛУКУ</w:t>
      </w:r>
    </w:p>
    <w:p w:rsidR="00DC6B0B" w:rsidRDefault="00DC6B0B">
      <w:pPr>
        <w:rPr>
          <w:rFonts w:ascii="Times New Roman" w:hAnsi="Times New Roman"/>
          <w:b/>
          <w:sz w:val="26"/>
        </w:rPr>
      </w:pPr>
      <w:r>
        <w:rPr>
          <w:rFonts w:ascii="Times New Roman" w:hAnsi="Times New Roman"/>
          <w:b/>
          <w:sz w:val="26"/>
        </w:rPr>
        <w:t xml:space="preserve">                             О ЛОКАЛНИМ КОМУНАЛНИМ ТАКСАМА</w:t>
      </w:r>
    </w:p>
    <w:p w:rsidR="00DC6B0B" w:rsidRDefault="00DC6B0B">
      <w:pPr>
        <w:rPr>
          <w:rFonts w:ascii="Times New Roman" w:hAnsi="Times New Roman"/>
          <w:b/>
          <w:sz w:val="26"/>
        </w:rPr>
      </w:pPr>
    </w:p>
    <w:p w:rsidR="00DC6B0B" w:rsidRDefault="00DC6B0B">
      <w:pPr>
        <w:rPr>
          <w:rFonts w:ascii="Times New Roman" w:hAnsi="Times New Roman"/>
          <w:b/>
          <w:sz w:val="26"/>
        </w:rPr>
      </w:pPr>
      <w:r>
        <w:rPr>
          <w:rFonts w:ascii="Times New Roman" w:hAnsi="Times New Roman"/>
          <w:b/>
          <w:sz w:val="26"/>
        </w:rPr>
        <w:t xml:space="preserve">                                                 I ОПШТЕ ОДРЕДБЕ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1.</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Овом одлуком уводе се локалне комуналне таксе за коришћење права, предмета и услуга на територији града Врања, утврђују се обвезници, висина, олакшице, рокови и начин плаћања комуналне таксе и контрола спровођења ове Одлуке.</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2.</w:t>
      </w:r>
      <w:proofErr w:type="gramEnd"/>
    </w:p>
    <w:p w:rsidR="00DC6B0B" w:rsidRDefault="00DC6B0B">
      <w:pPr>
        <w:spacing w:before="100" w:after="100"/>
        <w:ind w:firstLine="360"/>
        <w:jc w:val="both"/>
        <w:rPr>
          <w:rFonts w:ascii="Times New Roman" w:hAnsi="Times New Roman"/>
          <w:sz w:val="24"/>
        </w:rPr>
      </w:pPr>
      <w:r>
        <w:rPr>
          <w:rFonts w:ascii="Times New Roman" w:hAnsi="Times New Roman"/>
          <w:sz w:val="24"/>
        </w:rPr>
        <w:t>Локална комунална такса уводи се за:</w:t>
      </w:r>
    </w:p>
    <w:p w:rsidR="00DC6B0B" w:rsidRDefault="00DC6B0B">
      <w:pPr>
        <w:numPr>
          <w:ilvl w:val="0"/>
          <w:numId w:val="1"/>
        </w:numPr>
        <w:spacing w:before="100" w:after="100"/>
        <w:ind w:left="720" w:hanging="360"/>
        <w:jc w:val="both"/>
        <w:rPr>
          <w:rFonts w:ascii="Times New Roman" w:hAnsi="Times New Roman"/>
          <w:sz w:val="24"/>
        </w:rPr>
      </w:pPr>
      <w:r>
        <w:rPr>
          <w:rFonts w:ascii="Times New Roman" w:hAnsi="Times New Roman"/>
          <w:sz w:val="24"/>
        </w:rPr>
        <w:t>истицање фирме на пословном простору,</w:t>
      </w:r>
    </w:p>
    <w:p w:rsidR="00DC6B0B" w:rsidRDefault="00DC6B0B">
      <w:pPr>
        <w:numPr>
          <w:ilvl w:val="0"/>
          <w:numId w:val="1"/>
        </w:numPr>
        <w:spacing w:before="100" w:after="100"/>
        <w:ind w:left="720" w:hanging="360"/>
        <w:jc w:val="both"/>
        <w:rPr>
          <w:rFonts w:ascii="Times New Roman" w:hAnsi="Times New Roman"/>
          <w:sz w:val="24"/>
        </w:rPr>
      </w:pPr>
      <w:r>
        <w:rPr>
          <w:rFonts w:ascii="Times New Roman" w:hAnsi="Times New Roman"/>
          <w:sz w:val="24"/>
        </w:rPr>
        <w:t>држање моторних, друмских и прикључних возила, осим пољопривредних возила и машина,</w:t>
      </w:r>
    </w:p>
    <w:p w:rsidR="00DC6B0B" w:rsidRDefault="00DC6B0B">
      <w:pPr>
        <w:numPr>
          <w:ilvl w:val="0"/>
          <w:numId w:val="1"/>
        </w:numPr>
        <w:ind w:left="720" w:hanging="360"/>
        <w:jc w:val="both"/>
        <w:rPr>
          <w:rFonts w:ascii="Times New Roman" w:hAnsi="Times New Roman"/>
          <w:sz w:val="24"/>
        </w:rPr>
      </w:pPr>
      <w:r>
        <w:rPr>
          <w:rFonts w:ascii="Times New Roman" w:hAnsi="Times New Roman"/>
          <w:sz w:val="24"/>
        </w:rPr>
        <w:t>држање средстава за игру (“забавне игре”),</w:t>
      </w:r>
    </w:p>
    <w:p w:rsidR="00DC6B0B" w:rsidRDefault="00DC6B0B">
      <w:pPr>
        <w:spacing w:before="100" w:after="100"/>
        <w:ind w:left="720"/>
        <w:rPr>
          <w:rFonts w:ascii="Times New Roman" w:hAnsi="Times New Roman"/>
          <w:sz w:val="18"/>
        </w:rPr>
      </w:pP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3.</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Таксена обавеза из члана 1.</w:t>
      </w:r>
      <w:proofErr w:type="gramEnd"/>
      <w:r>
        <w:rPr>
          <w:rFonts w:ascii="Times New Roman" w:hAnsi="Times New Roman"/>
          <w:sz w:val="24"/>
        </w:rPr>
        <w:t xml:space="preserve"> </w:t>
      </w:r>
      <w:proofErr w:type="gramStart"/>
      <w:r>
        <w:rPr>
          <w:rFonts w:ascii="Times New Roman" w:hAnsi="Times New Roman"/>
          <w:sz w:val="24"/>
        </w:rPr>
        <w:t>ове</w:t>
      </w:r>
      <w:proofErr w:type="gramEnd"/>
      <w:r>
        <w:rPr>
          <w:rFonts w:ascii="Times New Roman" w:hAnsi="Times New Roman"/>
          <w:sz w:val="24"/>
        </w:rPr>
        <w:t xml:space="preserve"> Одлуке настаје даном почетка коришћења права, предмета и услуга за чије је коришћење прописано плаћање локалне комуналне таксе. </w:t>
      </w:r>
      <w:proofErr w:type="gramStart"/>
      <w:r>
        <w:rPr>
          <w:rFonts w:ascii="Times New Roman" w:hAnsi="Times New Roman"/>
          <w:sz w:val="24"/>
        </w:rPr>
        <w:t>Таксена обавеза траје док траје коришћење права, предмета и услуга.</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4.</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Локалне комуналне таксе не плаћају се за коришћење права, предмета и услуга од стране државних органа и организација, органа и организација локалне самоуправе и јавних предузећа и установа према којима град врши права оснивача.</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5.</w:t>
      </w:r>
      <w:proofErr w:type="gramEnd"/>
    </w:p>
    <w:p w:rsidR="00DC6B0B" w:rsidRDefault="00DC6B0B">
      <w:pPr>
        <w:spacing w:before="100" w:after="100"/>
        <w:ind w:firstLine="720"/>
        <w:jc w:val="both"/>
        <w:rPr>
          <w:rFonts w:ascii="Times New Roman" w:hAnsi="Times New Roman"/>
          <w:sz w:val="24"/>
        </w:rPr>
      </w:pPr>
      <w:r>
        <w:rPr>
          <w:rFonts w:ascii="Times New Roman" w:hAnsi="Times New Roman"/>
          <w:sz w:val="24"/>
        </w:rPr>
        <w:t xml:space="preserve">Утврђивање, наплату и контролу комуналних такси врши Градска управа преко Организационе јединице Градске управе надлежне за послове </w:t>
      </w:r>
      <w:proofErr w:type="gramStart"/>
      <w:r>
        <w:rPr>
          <w:rFonts w:ascii="Times New Roman" w:hAnsi="Times New Roman"/>
          <w:sz w:val="24"/>
        </w:rPr>
        <w:t>финансија  -</w:t>
      </w:r>
      <w:proofErr w:type="gramEnd"/>
      <w:r>
        <w:rPr>
          <w:rFonts w:ascii="Times New Roman" w:hAnsi="Times New Roman"/>
          <w:sz w:val="24"/>
        </w:rPr>
        <w:t xml:space="preserve">  Одсек локалне пореске администрације. </w:t>
      </w:r>
    </w:p>
    <w:p w:rsidR="00DC6B0B" w:rsidRDefault="00DC6B0B">
      <w:pPr>
        <w:spacing w:before="100" w:after="100"/>
        <w:ind w:firstLine="720"/>
        <w:rPr>
          <w:rFonts w:ascii="Times New Roman" w:hAnsi="Times New Roman"/>
          <w:sz w:val="24"/>
        </w:rPr>
      </w:pPr>
      <w:r>
        <w:rPr>
          <w:rFonts w:ascii="Times New Roman" w:hAnsi="Times New Roman"/>
          <w:sz w:val="24"/>
        </w:rPr>
        <w:t xml:space="preserve">Градска управа може пренети право наплате комуналне таксе на јавно предузеће или други орган и организацију, одређене </w:t>
      </w:r>
      <w:proofErr w:type="gramStart"/>
      <w:r>
        <w:rPr>
          <w:rFonts w:ascii="Times New Roman" w:hAnsi="Times New Roman"/>
          <w:sz w:val="24"/>
        </w:rPr>
        <w:t>одговарајућим  тарифним</w:t>
      </w:r>
      <w:proofErr w:type="gramEnd"/>
      <w:r>
        <w:rPr>
          <w:rFonts w:ascii="Times New Roman" w:hAnsi="Times New Roman"/>
          <w:sz w:val="24"/>
        </w:rPr>
        <w:t xml:space="preserve">  бројем.</w:t>
      </w:r>
    </w:p>
    <w:p w:rsidR="00DC6B0B" w:rsidRDefault="00DC6B0B">
      <w:pPr>
        <w:spacing w:before="100" w:after="100"/>
        <w:rPr>
          <w:rFonts w:ascii="Times New Roman" w:hAnsi="Times New Roman"/>
          <w:sz w:val="24"/>
        </w:rPr>
      </w:pPr>
    </w:p>
    <w:p w:rsidR="00DC6B0B" w:rsidRDefault="00DC6B0B">
      <w:pPr>
        <w:jc w:val="center"/>
        <w:rPr>
          <w:rFonts w:ascii="Times New Roman" w:hAnsi="Times New Roman"/>
          <w:b/>
          <w:sz w:val="24"/>
        </w:rPr>
      </w:pPr>
      <w:r>
        <w:rPr>
          <w:rFonts w:ascii="Times New Roman" w:hAnsi="Times New Roman"/>
          <w:b/>
          <w:sz w:val="24"/>
        </w:rPr>
        <w:lastRenderedPageBreak/>
        <w:t>II ПОСЕБНЕ ОДРЕДБЕ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6.</w:t>
      </w:r>
      <w:proofErr w:type="gramEnd"/>
    </w:p>
    <w:p w:rsidR="00DC6B0B" w:rsidRDefault="00DC6B0B">
      <w:pPr>
        <w:ind w:firstLine="720"/>
        <w:jc w:val="both"/>
        <w:rPr>
          <w:rFonts w:ascii="Times New Roman" w:hAnsi="Times New Roman"/>
          <w:b/>
          <w:sz w:val="24"/>
        </w:rPr>
      </w:pPr>
      <w:proofErr w:type="gramStart"/>
      <w:r>
        <w:rPr>
          <w:rFonts w:ascii="Times New Roman" w:hAnsi="Times New Roman"/>
          <w:sz w:val="24"/>
        </w:rPr>
        <w:t>Саставни део ове Одлуке је Таксена тарифа којом је утврђена висина комуналних такси за коришћење одређених права, предмета и услуга.</w:t>
      </w:r>
      <w:proofErr w:type="gramEnd"/>
    </w:p>
    <w:p w:rsidR="00DC6B0B" w:rsidRDefault="00DC6B0B">
      <w:pPr>
        <w:ind w:firstLine="720"/>
        <w:jc w:val="both"/>
        <w:rPr>
          <w:rFonts w:ascii="Times New Roman" w:hAnsi="Times New Roman"/>
          <w:sz w:val="24"/>
        </w:rPr>
      </w:pPr>
      <w:proofErr w:type="gramStart"/>
      <w:r>
        <w:rPr>
          <w:rFonts w:ascii="Times New Roman" w:hAnsi="Times New Roman"/>
          <w:sz w:val="24"/>
        </w:rPr>
        <w:t>Тарифа локалне комуналне таксе утврђује обвезнике, висину, олакшице, начин утврђивања и плаћања локалне комуналне таксе, начин контроле и број рачуна на који се уплаћује иста.</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7.</w:t>
      </w:r>
      <w:proofErr w:type="gramEnd"/>
    </w:p>
    <w:p w:rsidR="00DC6B0B" w:rsidRDefault="00DC6B0B">
      <w:pPr>
        <w:spacing w:before="100" w:after="100"/>
        <w:ind w:firstLine="720"/>
        <w:jc w:val="both"/>
        <w:rPr>
          <w:rFonts w:ascii="Times New Roman" w:hAnsi="Times New Roman"/>
          <w:sz w:val="24"/>
        </w:rPr>
      </w:pPr>
      <w:r>
        <w:rPr>
          <w:rFonts w:ascii="Times New Roman" w:hAnsi="Times New Roman"/>
          <w:sz w:val="24"/>
        </w:rPr>
        <w:t>На територији града Врања комунална такса плаћа се у различитој висини зависно од врсте делатности, површине и техничко-употребних карактеристика објеката, величине правног лица, висине годишњих прихода и по деловима територије, односно зонама у којима се налазе објекти, предмети и услуге за које се плаћају таксе.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8.</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Комунална такса плаћа се у дневном, месечном и годишњем износу, што је дефинисано у тарифним бројевима Таксене тарифе која је саставни део ове Одлуке.</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9.</w:t>
      </w:r>
      <w:proofErr w:type="gramEnd"/>
    </w:p>
    <w:p w:rsidR="00DC6B0B" w:rsidRDefault="00DC6B0B">
      <w:pPr>
        <w:ind w:firstLine="720"/>
        <w:jc w:val="both"/>
        <w:rPr>
          <w:rFonts w:ascii="Times New Roman" w:hAnsi="Times New Roman"/>
          <w:sz w:val="24"/>
        </w:rPr>
      </w:pPr>
      <w:proofErr w:type="gramStart"/>
      <w:r>
        <w:rPr>
          <w:rFonts w:ascii="Times New Roman" w:hAnsi="Times New Roman"/>
          <w:sz w:val="24"/>
        </w:rPr>
        <w:t>Обвезник локалне комуналне таксе дужан је да, за коришћење права, предмета или услуга за чије коришћење је прописано плаћање локалне комуналне таксе, поднесе пријаву.</w:t>
      </w:r>
      <w:proofErr w:type="gramEnd"/>
      <w:r>
        <w:rPr>
          <w:rFonts w:ascii="Times New Roman" w:hAnsi="Times New Roman"/>
          <w:sz w:val="24"/>
        </w:rPr>
        <w:t xml:space="preserve"> Уколико обвезник локалне комуналне таксе не поднесе пријаву у року прописаном овом Одлуком, обавеза се може утврдити по службеној дужности на основу налаза надлежног инспектора, податке из </w:t>
      </w:r>
      <w:proofErr w:type="gramStart"/>
      <w:r>
        <w:rPr>
          <w:rFonts w:ascii="Times New Roman" w:hAnsi="Times New Roman"/>
          <w:sz w:val="24"/>
        </w:rPr>
        <w:t>евиденције  надлежног</w:t>
      </w:r>
      <w:proofErr w:type="gramEnd"/>
      <w:r>
        <w:rPr>
          <w:rFonts w:ascii="Times New Roman" w:hAnsi="Times New Roman"/>
          <w:sz w:val="24"/>
        </w:rPr>
        <w:t xml:space="preserve"> органа и других података којима располаже орган надлежан за утврђивање.</w:t>
      </w:r>
    </w:p>
    <w:p w:rsidR="00DC6B0B" w:rsidRDefault="00DC6B0B">
      <w:pPr>
        <w:ind w:firstLine="720"/>
        <w:jc w:val="both"/>
        <w:rPr>
          <w:rFonts w:ascii="Times New Roman" w:hAnsi="Times New Roman"/>
          <w:sz w:val="24"/>
        </w:rPr>
      </w:pPr>
      <w:proofErr w:type="gramStart"/>
      <w:r>
        <w:rPr>
          <w:rFonts w:ascii="Times New Roman" w:hAnsi="Times New Roman"/>
          <w:sz w:val="24"/>
        </w:rPr>
        <w:t>Пријава се подноси посебно за тарифни број 1.и 3.</w:t>
      </w:r>
      <w:proofErr w:type="gramEnd"/>
    </w:p>
    <w:p w:rsidR="00DC6B0B" w:rsidRDefault="00DC6B0B">
      <w:pPr>
        <w:ind w:firstLine="720"/>
        <w:jc w:val="both"/>
        <w:rPr>
          <w:rFonts w:ascii="Times New Roman" w:hAnsi="Times New Roman"/>
          <w:sz w:val="24"/>
        </w:rPr>
      </w:pPr>
      <w:proofErr w:type="gramStart"/>
      <w:r>
        <w:rPr>
          <w:rFonts w:ascii="Times New Roman" w:hAnsi="Times New Roman"/>
          <w:sz w:val="24"/>
        </w:rPr>
        <w:t>Изглед и садржај пријаве је саставни део ове Одлуке.</w:t>
      </w:r>
      <w:proofErr w:type="gramEnd"/>
    </w:p>
    <w:p w:rsidR="00DC6B0B" w:rsidRDefault="00DC6B0B">
      <w:pPr>
        <w:ind w:firstLine="720"/>
        <w:jc w:val="both"/>
        <w:rPr>
          <w:rFonts w:ascii="Times New Roman" w:hAnsi="Times New Roman"/>
          <w:sz w:val="24"/>
        </w:rPr>
      </w:pPr>
      <w:proofErr w:type="gramStart"/>
      <w:r>
        <w:rPr>
          <w:rFonts w:ascii="Times New Roman" w:hAnsi="Times New Roman"/>
          <w:sz w:val="24"/>
        </w:rPr>
        <w:t>Пријава обвезника локалне комуналне таксе за истицање фирме на пословном простору, подноси се до 31.</w:t>
      </w:r>
      <w:proofErr w:type="gramEnd"/>
      <w:r>
        <w:rPr>
          <w:rFonts w:ascii="Times New Roman" w:hAnsi="Times New Roman"/>
          <w:sz w:val="24"/>
        </w:rPr>
        <w:t xml:space="preserve"> </w:t>
      </w:r>
      <w:proofErr w:type="gramStart"/>
      <w:r>
        <w:rPr>
          <w:rFonts w:ascii="Times New Roman" w:hAnsi="Times New Roman"/>
          <w:sz w:val="24"/>
        </w:rPr>
        <w:t>марта</w:t>
      </w:r>
      <w:proofErr w:type="gramEnd"/>
      <w:r>
        <w:rPr>
          <w:rFonts w:ascii="Times New Roman" w:hAnsi="Times New Roman"/>
          <w:sz w:val="24"/>
        </w:rPr>
        <w:t xml:space="preserve"> текуће године за коју се утврђује локална комунална такса или у року од 10 дана од дана почетка обављања делатности. </w:t>
      </w:r>
    </w:p>
    <w:p w:rsidR="00DC6B0B" w:rsidRDefault="00DC6B0B">
      <w:pPr>
        <w:ind w:firstLine="720"/>
        <w:jc w:val="both"/>
        <w:rPr>
          <w:rFonts w:ascii="Times New Roman" w:hAnsi="Times New Roman"/>
          <w:sz w:val="24"/>
        </w:rPr>
      </w:pPr>
      <w:proofErr w:type="gramStart"/>
      <w:r>
        <w:rPr>
          <w:rFonts w:ascii="Times New Roman" w:hAnsi="Times New Roman"/>
          <w:sz w:val="24"/>
        </w:rPr>
        <w:t>Обвезник комуналне таксе из члана 2.</w:t>
      </w:r>
      <w:proofErr w:type="gramEnd"/>
      <w:r>
        <w:rPr>
          <w:rFonts w:ascii="Times New Roman" w:hAnsi="Times New Roman"/>
          <w:sz w:val="24"/>
        </w:rPr>
        <w:t xml:space="preserve"> </w:t>
      </w:r>
      <w:proofErr w:type="gramStart"/>
      <w:r>
        <w:rPr>
          <w:rFonts w:ascii="Times New Roman" w:hAnsi="Times New Roman"/>
          <w:sz w:val="24"/>
        </w:rPr>
        <w:t>став</w:t>
      </w:r>
      <w:proofErr w:type="gramEnd"/>
      <w:r>
        <w:rPr>
          <w:rFonts w:ascii="Times New Roman" w:hAnsi="Times New Roman"/>
          <w:sz w:val="24"/>
        </w:rPr>
        <w:t xml:space="preserve"> 1. </w:t>
      </w:r>
      <w:proofErr w:type="gramStart"/>
      <w:r>
        <w:rPr>
          <w:rFonts w:ascii="Times New Roman" w:hAnsi="Times New Roman"/>
          <w:sz w:val="24"/>
        </w:rPr>
        <w:t>тачка</w:t>
      </w:r>
      <w:proofErr w:type="gramEnd"/>
      <w:r>
        <w:rPr>
          <w:rFonts w:ascii="Times New Roman" w:hAnsi="Times New Roman"/>
          <w:sz w:val="24"/>
        </w:rPr>
        <w:t xml:space="preserve"> 3. </w:t>
      </w:r>
      <w:proofErr w:type="gramStart"/>
      <w:r>
        <w:rPr>
          <w:rFonts w:ascii="Times New Roman" w:hAnsi="Times New Roman"/>
          <w:sz w:val="24"/>
        </w:rPr>
        <w:t>ове</w:t>
      </w:r>
      <w:proofErr w:type="gramEnd"/>
      <w:r>
        <w:rPr>
          <w:rFonts w:ascii="Times New Roman" w:hAnsi="Times New Roman"/>
          <w:sz w:val="24"/>
        </w:rPr>
        <w:t xml:space="preserve"> одлуке, дужан је да поднесе пријаву надлежном органу, до 31. </w:t>
      </w:r>
      <w:proofErr w:type="gramStart"/>
      <w:r>
        <w:rPr>
          <w:rFonts w:ascii="Times New Roman" w:hAnsi="Times New Roman"/>
          <w:sz w:val="24"/>
        </w:rPr>
        <w:t>марта</w:t>
      </w:r>
      <w:proofErr w:type="gramEnd"/>
      <w:r>
        <w:rPr>
          <w:rFonts w:ascii="Times New Roman" w:hAnsi="Times New Roman"/>
          <w:sz w:val="24"/>
        </w:rPr>
        <w:t xml:space="preserve"> текуће године, односно у року од 10 дана од дана почетка држања средстава за игру, ради утврђивања обавезе плаћања комуналне таксе.</w:t>
      </w:r>
    </w:p>
    <w:p w:rsidR="00DC6B0B" w:rsidRDefault="00DC6B0B">
      <w:pPr>
        <w:ind w:firstLine="720"/>
        <w:jc w:val="both"/>
        <w:rPr>
          <w:rFonts w:ascii="Times New Roman" w:hAnsi="Times New Roman"/>
          <w:sz w:val="24"/>
        </w:rPr>
      </w:pPr>
      <w:proofErr w:type="gramStart"/>
      <w:r>
        <w:rPr>
          <w:rFonts w:ascii="Times New Roman" w:hAnsi="Times New Roman"/>
          <w:sz w:val="24"/>
        </w:rPr>
        <w:t>Обвезник комуналне таксе дужан је да сваку насталу промену (трајне или привремене одјаве делатности, промене делатности, промене локације објекта, стечај, ликвидација и сл.)</w:t>
      </w:r>
      <w:proofErr w:type="gramEnd"/>
      <w:r>
        <w:rPr>
          <w:rFonts w:ascii="Times New Roman" w:hAnsi="Times New Roman"/>
          <w:sz w:val="24"/>
        </w:rPr>
        <w:t xml:space="preserve">  </w:t>
      </w:r>
      <w:proofErr w:type="gramStart"/>
      <w:r>
        <w:rPr>
          <w:rFonts w:ascii="Times New Roman" w:hAnsi="Times New Roman"/>
          <w:sz w:val="24"/>
        </w:rPr>
        <w:t>пријави</w:t>
      </w:r>
      <w:proofErr w:type="gramEnd"/>
      <w:r>
        <w:rPr>
          <w:rFonts w:ascii="Times New Roman" w:hAnsi="Times New Roman"/>
          <w:sz w:val="24"/>
        </w:rPr>
        <w:t xml:space="preserve"> надлежном органу у року од 10 дана од дана настанка промене.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10.</w:t>
      </w:r>
      <w:proofErr w:type="gramEnd"/>
    </w:p>
    <w:p w:rsidR="00DC6B0B" w:rsidRDefault="00DC6B0B">
      <w:pPr>
        <w:spacing w:before="240" w:after="120"/>
        <w:ind w:firstLine="360"/>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Локална комунална такса из члана 2.</w:t>
      </w:r>
      <w:proofErr w:type="gramEnd"/>
      <w:r>
        <w:rPr>
          <w:rFonts w:ascii="Times New Roman" w:hAnsi="Times New Roman"/>
          <w:sz w:val="24"/>
        </w:rPr>
        <w:t xml:space="preserve"> </w:t>
      </w:r>
      <w:proofErr w:type="gramStart"/>
      <w:r>
        <w:rPr>
          <w:rFonts w:ascii="Times New Roman" w:hAnsi="Times New Roman"/>
          <w:sz w:val="24"/>
        </w:rPr>
        <w:t>став</w:t>
      </w:r>
      <w:proofErr w:type="gramEnd"/>
      <w:r>
        <w:rPr>
          <w:rFonts w:ascii="Times New Roman" w:hAnsi="Times New Roman"/>
          <w:sz w:val="24"/>
        </w:rPr>
        <w:t xml:space="preserve"> 1. </w:t>
      </w:r>
      <w:proofErr w:type="gramStart"/>
      <w:r>
        <w:rPr>
          <w:rFonts w:ascii="Times New Roman" w:hAnsi="Times New Roman"/>
          <w:sz w:val="24"/>
        </w:rPr>
        <w:t>ове</w:t>
      </w:r>
      <w:proofErr w:type="gramEnd"/>
      <w:r>
        <w:rPr>
          <w:rFonts w:ascii="Times New Roman" w:hAnsi="Times New Roman"/>
          <w:sz w:val="24"/>
        </w:rPr>
        <w:t xml:space="preserve"> Одлуке утврђује се:</w:t>
      </w:r>
    </w:p>
    <w:p w:rsidR="00DC6B0B" w:rsidRDefault="00DC6B0B">
      <w:pPr>
        <w:numPr>
          <w:ilvl w:val="0"/>
          <w:numId w:val="2"/>
        </w:numPr>
        <w:ind w:left="720" w:hanging="360"/>
        <w:jc w:val="both"/>
        <w:rPr>
          <w:rFonts w:ascii="Times New Roman" w:hAnsi="Times New Roman"/>
          <w:sz w:val="24"/>
        </w:rPr>
      </w:pPr>
      <w:proofErr w:type="gramStart"/>
      <w:r>
        <w:rPr>
          <w:rFonts w:ascii="Times New Roman" w:hAnsi="Times New Roman"/>
          <w:sz w:val="24"/>
        </w:rPr>
        <w:t>у</w:t>
      </w:r>
      <w:proofErr w:type="gramEnd"/>
      <w:r>
        <w:rPr>
          <w:rFonts w:ascii="Times New Roman" w:hAnsi="Times New Roman"/>
          <w:sz w:val="24"/>
        </w:rPr>
        <w:t xml:space="preserve"> годишњем износу за локалне комуналне таксе из тачке 1. и 2,</w:t>
      </w:r>
    </w:p>
    <w:p w:rsidR="00DC6B0B" w:rsidRDefault="00DC6B0B">
      <w:pPr>
        <w:numPr>
          <w:ilvl w:val="0"/>
          <w:numId w:val="2"/>
        </w:numPr>
        <w:ind w:left="720" w:hanging="360"/>
        <w:jc w:val="both"/>
        <w:rPr>
          <w:rFonts w:ascii="Times New Roman" w:hAnsi="Times New Roman"/>
          <w:sz w:val="24"/>
        </w:rPr>
      </w:pPr>
      <w:proofErr w:type="gramStart"/>
      <w:r>
        <w:rPr>
          <w:rFonts w:ascii="Times New Roman" w:hAnsi="Times New Roman"/>
          <w:sz w:val="24"/>
        </w:rPr>
        <w:t>сразмерно</w:t>
      </w:r>
      <w:proofErr w:type="gramEnd"/>
      <w:r>
        <w:rPr>
          <w:rFonts w:ascii="Times New Roman" w:hAnsi="Times New Roman"/>
          <w:sz w:val="24"/>
        </w:rPr>
        <w:t xml:space="preserve"> времену коришћења за локалну комуналну таксу из тачке 3.</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lastRenderedPageBreak/>
        <w:t>Члан 11.</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Уплата прихода од комуналних такси врши се на одговарајуће уплатне рачуне јавних прихода прописане Правилником о условима и начину вођења рачуна за уплату јавних прихода и распоред средстава са тих рачуна.</w:t>
      </w:r>
      <w:proofErr w:type="gramEnd"/>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12.</w:t>
      </w:r>
      <w:proofErr w:type="gramEnd"/>
    </w:p>
    <w:p w:rsidR="00DC6B0B" w:rsidRDefault="00DC6B0B">
      <w:pPr>
        <w:spacing w:before="100" w:after="100"/>
        <w:ind w:firstLine="720"/>
        <w:jc w:val="both"/>
        <w:rPr>
          <w:rFonts w:ascii="Times New Roman" w:hAnsi="Times New Roman"/>
          <w:sz w:val="24"/>
        </w:rPr>
      </w:pPr>
      <w:r>
        <w:rPr>
          <w:rFonts w:ascii="Times New Roman" w:hAnsi="Times New Roman"/>
          <w:sz w:val="24"/>
        </w:rPr>
        <w:t>У погледу начина утврђивања комуналне таксе, обрачунавања, застарелости, наплате, рокова за плаћање, обрачуна камате и осталог, примењују се одредбе Закона о пореском поступку и пореској администрацији, Закона о порезу на доходак грађана, Закона о порезу на добит правних лица и Закона о финансирању локалне самоуправе.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13.</w:t>
      </w:r>
      <w:proofErr w:type="gramEnd"/>
    </w:p>
    <w:p w:rsidR="00DC6B0B" w:rsidRDefault="00DC6B0B">
      <w:pPr>
        <w:spacing w:before="100"/>
        <w:ind w:firstLine="720"/>
        <w:jc w:val="both"/>
        <w:rPr>
          <w:rFonts w:ascii="Times New Roman" w:hAnsi="Times New Roman"/>
          <w:sz w:val="24"/>
        </w:rPr>
      </w:pPr>
      <w:proofErr w:type="gramStart"/>
      <w:r>
        <w:rPr>
          <w:rFonts w:ascii="Times New Roman" w:hAnsi="Times New Roman"/>
          <w:sz w:val="24"/>
        </w:rPr>
        <w:t>Висина комуналних такси утврђена овом Одлуком може се изменити једном годишње, и то у поступку утврђивања буџета града за наредну годину.</w:t>
      </w:r>
      <w:proofErr w:type="gramEnd"/>
    </w:p>
    <w:p w:rsidR="00DC6B0B" w:rsidRDefault="00DC6B0B">
      <w:pPr>
        <w:ind w:firstLine="720"/>
        <w:jc w:val="both"/>
        <w:rPr>
          <w:rFonts w:ascii="Times New Roman" w:hAnsi="Times New Roman"/>
          <w:sz w:val="24"/>
        </w:rPr>
      </w:pPr>
      <w:proofErr w:type="gramStart"/>
      <w:r>
        <w:rPr>
          <w:rFonts w:ascii="Times New Roman" w:hAnsi="Times New Roman"/>
          <w:sz w:val="24"/>
        </w:rPr>
        <w:t>Изузетно, висина комуналне таксе утврђена овом Одлуком, може се изменити и у случају доношења, односно измена закона или другог прописа којим се уређују изворни приходи јединице локалне самоуправе.</w:t>
      </w:r>
      <w:proofErr w:type="gramEnd"/>
    </w:p>
    <w:p w:rsidR="00DC6B0B" w:rsidRDefault="00DC6B0B">
      <w:pPr>
        <w:spacing w:before="240" w:after="120"/>
        <w:rPr>
          <w:rFonts w:ascii="Times New Roman" w:hAnsi="Times New Roman"/>
          <w:b/>
          <w:sz w:val="24"/>
        </w:rPr>
      </w:pPr>
      <w:r>
        <w:rPr>
          <w:rFonts w:ascii="Times New Roman" w:hAnsi="Times New Roman"/>
          <w:b/>
          <w:sz w:val="24"/>
        </w:rPr>
        <w:t xml:space="preserve">                                                              </w:t>
      </w:r>
      <w:proofErr w:type="gramStart"/>
      <w:r>
        <w:rPr>
          <w:rFonts w:ascii="Times New Roman" w:hAnsi="Times New Roman"/>
          <w:b/>
          <w:sz w:val="24"/>
        </w:rPr>
        <w:t>Члан 14.</w:t>
      </w:r>
      <w:proofErr w:type="gramEnd"/>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Инспекцијски надзор над применом одредаба ове Одлуке врши Градска управа - Организациона јединица Градске управе надлежна за послове инспекција, финансија и комунално-полицијских послова.</w:t>
      </w:r>
      <w:proofErr w:type="gramEnd"/>
    </w:p>
    <w:p w:rsidR="00DC6B0B" w:rsidRDefault="00DC6B0B">
      <w:pPr>
        <w:spacing w:before="100" w:after="100"/>
        <w:ind w:firstLine="720"/>
        <w:jc w:val="both"/>
        <w:rPr>
          <w:rFonts w:ascii="Times New Roman" w:hAnsi="Times New Roman"/>
          <w:sz w:val="24"/>
        </w:rPr>
      </w:pPr>
    </w:p>
    <w:p w:rsidR="00DC6B0B" w:rsidRDefault="00DC6B0B">
      <w:pPr>
        <w:jc w:val="center"/>
        <w:rPr>
          <w:rFonts w:ascii="Times New Roman" w:hAnsi="Times New Roman"/>
          <w:b/>
          <w:sz w:val="24"/>
        </w:rPr>
      </w:pPr>
      <w:r>
        <w:rPr>
          <w:rFonts w:ascii="Times New Roman" w:hAnsi="Times New Roman"/>
          <w:b/>
          <w:sz w:val="24"/>
        </w:rPr>
        <w:t>III КАЗНЕНЕ ОДРЕДБЕ</w:t>
      </w:r>
    </w:p>
    <w:p w:rsidR="00DC6B0B" w:rsidRDefault="00DC6B0B">
      <w:pPr>
        <w:spacing w:before="240" w:after="120"/>
        <w:jc w:val="center"/>
        <w:rPr>
          <w:rFonts w:ascii="Times New Roman" w:hAnsi="Times New Roman"/>
          <w:b/>
          <w:sz w:val="24"/>
        </w:rPr>
      </w:pPr>
      <w:proofErr w:type="gramStart"/>
      <w:r>
        <w:rPr>
          <w:rFonts w:ascii="Times New Roman" w:hAnsi="Times New Roman"/>
          <w:b/>
          <w:sz w:val="24"/>
        </w:rPr>
        <w:t>Члан 15.</w:t>
      </w:r>
      <w:proofErr w:type="gramEnd"/>
    </w:p>
    <w:p w:rsidR="00DC6B0B" w:rsidRDefault="00DC6B0B">
      <w:pPr>
        <w:spacing w:before="100"/>
        <w:ind w:firstLine="720"/>
        <w:rPr>
          <w:rFonts w:ascii="Times New Roman" w:hAnsi="Times New Roman"/>
          <w:sz w:val="24"/>
        </w:rPr>
      </w:pPr>
      <w:r>
        <w:rPr>
          <w:rFonts w:ascii="Times New Roman" w:hAnsi="Times New Roman"/>
          <w:sz w:val="24"/>
        </w:rPr>
        <w:t>Новчаном казном у износу од 150.000,00 динара казниће се правно лице:</w:t>
      </w:r>
    </w:p>
    <w:p w:rsidR="00DC6B0B" w:rsidRDefault="00DC6B0B">
      <w:pPr>
        <w:ind w:firstLine="720"/>
        <w:jc w:val="both"/>
        <w:rPr>
          <w:rFonts w:ascii="Times New Roman" w:hAnsi="Times New Roman"/>
          <w:sz w:val="24"/>
        </w:rPr>
      </w:pPr>
      <w:r>
        <w:rPr>
          <w:rFonts w:ascii="Times New Roman" w:hAnsi="Times New Roman"/>
          <w:sz w:val="24"/>
        </w:rPr>
        <w:t xml:space="preserve">1) </w:t>
      </w:r>
      <w:proofErr w:type="gramStart"/>
      <w:r>
        <w:rPr>
          <w:rFonts w:ascii="Times New Roman" w:hAnsi="Times New Roman"/>
          <w:sz w:val="24"/>
        </w:rPr>
        <w:t>ако</w:t>
      </w:r>
      <w:proofErr w:type="gramEnd"/>
      <w:r>
        <w:rPr>
          <w:rFonts w:ascii="Times New Roman" w:hAnsi="Times New Roman"/>
          <w:sz w:val="24"/>
        </w:rPr>
        <w:t xml:space="preserve"> не поднесе пореску пријаву, односно захтев за коришћење права, предмета или услуге надлежном органу или је поднесе након истека рока прописаног овом Одлуком, (чл. 9. </w:t>
      </w:r>
      <w:proofErr w:type="gramStart"/>
      <w:r>
        <w:rPr>
          <w:rFonts w:ascii="Times New Roman" w:hAnsi="Times New Roman"/>
          <w:sz w:val="24"/>
        </w:rPr>
        <w:t>став</w:t>
      </w:r>
      <w:proofErr w:type="gramEnd"/>
      <w:r>
        <w:rPr>
          <w:rFonts w:ascii="Times New Roman" w:hAnsi="Times New Roman"/>
          <w:sz w:val="24"/>
        </w:rPr>
        <w:t xml:space="preserve"> 4. </w:t>
      </w:r>
      <w:proofErr w:type="gramStart"/>
      <w:r>
        <w:rPr>
          <w:rFonts w:ascii="Times New Roman" w:hAnsi="Times New Roman"/>
          <w:sz w:val="24"/>
        </w:rPr>
        <w:t>и</w:t>
      </w:r>
      <w:proofErr w:type="gramEnd"/>
      <w:r>
        <w:rPr>
          <w:rFonts w:ascii="Times New Roman" w:hAnsi="Times New Roman"/>
          <w:sz w:val="24"/>
        </w:rPr>
        <w:t xml:space="preserve"> 5.) </w:t>
      </w:r>
    </w:p>
    <w:p w:rsidR="00DC6B0B" w:rsidRDefault="00DC6B0B">
      <w:pPr>
        <w:ind w:firstLine="720"/>
        <w:jc w:val="both"/>
        <w:rPr>
          <w:rFonts w:ascii="Times New Roman" w:hAnsi="Times New Roman"/>
          <w:sz w:val="24"/>
        </w:rPr>
      </w:pPr>
      <w:r>
        <w:rPr>
          <w:rFonts w:ascii="Times New Roman" w:hAnsi="Times New Roman"/>
          <w:sz w:val="24"/>
        </w:rPr>
        <w:t xml:space="preserve">2) </w:t>
      </w:r>
      <w:proofErr w:type="gramStart"/>
      <w:r>
        <w:rPr>
          <w:rFonts w:ascii="Times New Roman" w:hAnsi="Times New Roman"/>
          <w:sz w:val="24"/>
        </w:rPr>
        <w:t>ако</w:t>
      </w:r>
      <w:proofErr w:type="gramEnd"/>
      <w:r>
        <w:rPr>
          <w:rFonts w:ascii="Times New Roman" w:hAnsi="Times New Roman"/>
          <w:sz w:val="24"/>
        </w:rPr>
        <w:t xml:space="preserve"> не пријави насталу промену која је од утицаја на висину утврђене локалне комуналне таксе или је пријави након истека рока прописаног овом Одлуком (чл. 9. </w:t>
      </w:r>
      <w:proofErr w:type="gramStart"/>
      <w:r>
        <w:rPr>
          <w:rFonts w:ascii="Times New Roman" w:hAnsi="Times New Roman"/>
          <w:sz w:val="24"/>
        </w:rPr>
        <w:t>став</w:t>
      </w:r>
      <w:proofErr w:type="gramEnd"/>
      <w:r>
        <w:rPr>
          <w:rFonts w:ascii="Times New Roman" w:hAnsi="Times New Roman"/>
          <w:sz w:val="24"/>
        </w:rPr>
        <w:t xml:space="preserve"> 6.) </w:t>
      </w:r>
    </w:p>
    <w:p w:rsidR="00DC6B0B" w:rsidRDefault="00DC6B0B">
      <w:pPr>
        <w:ind w:firstLine="720"/>
        <w:jc w:val="both"/>
        <w:rPr>
          <w:rFonts w:ascii="Times New Roman" w:hAnsi="Times New Roman"/>
          <w:sz w:val="24"/>
        </w:rPr>
      </w:pPr>
      <w:r>
        <w:rPr>
          <w:rFonts w:ascii="Times New Roman" w:hAnsi="Times New Roman"/>
          <w:sz w:val="24"/>
        </w:rPr>
        <w:t xml:space="preserve">3) </w:t>
      </w:r>
      <w:proofErr w:type="gramStart"/>
      <w:r>
        <w:rPr>
          <w:rFonts w:ascii="Times New Roman" w:hAnsi="Times New Roman"/>
          <w:sz w:val="24"/>
        </w:rPr>
        <w:t>ако</w:t>
      </w:r>
      <w:proofErr w:type="gramEnd"/>
      <w:r>
        <w:rPr>
          <w:rFonts w:ascii="Times New Roman" w:hAnsi="Times New Roman"/>
          <w:sz w:val="24"/>
        </w:rPr>
        <w:t xml:space="preserve"> не поднесе захтев за коришћење права, предмета или услуге;</w:t>
      </w:r>
    </w:p>
    <w:p w:rsidR="00DC6B0B" w:rsidRDefault="00DC6B0B">
      <w:pPr>
        <w:ind w:firstLine="720"/>
        <w:jc w:val="both"/>
        <w:rPr>
          <w:rFonts w:ascii="Times New Roman" w:hAnsi="Times New Roman"/>
          <w:sz w:val="24"/>
        </w:rPr>
      </w:pPr>
      <w:r>
        <w:rPr>
          <w:rFonts w:ascii="Times New Roman" w:hAnsi="Times New Roman"/>
          <w:sz w:val="24"/>
        </w:rPr>
        <w:t xml:space="preserve">4) </w:t>
      </w:r>
      <w:proofErr w:type="gramStart"/>
      <w:r>
        <w:rPr>
          <w:rFonts w:ascii="Times New Roman" w:hAnsi="Times New Roman"/>
          <w:sz w:val="24"/>
        </w:rPr>
        <w:t>ако</w:t>
      </w:r>
      <w:proofErr w:type="gramEnd"/>
      <w:r>
        <w:rPr>
          <w:rFonts w:ascii="Times New Roman" w:hAnsi="Times New Roman"/>
          <w:sz w:val="24"/>
        </w:rPr>
        <w:t xml:space="preserve"> достави нетачне податке који су од утицаја на висину комуналне таксе</w:t>
      </w:r>
    </w:p>
    <w:p w:rsidR="00DC6B0B" w:rsidRDefault="00DC6B0B">
      <w:pPr>
        <w:ind w:firstLine="720"/>
        <w:jc w:val="both"/>
        <w:rPr>
          <w:rFonts w:ascii="Times New Roman" w:hAnsi="Times New Roman"/>
          <w:sz w:val="24"/>
        </w:rPr>
      </w:pPr>
      <w:r>
        <w:rPr>
          <w:rFonts w:ascii="Times New Roman" w:hAnsi="Times New Roman"/>
          <w:sz w:val="24"/>
        </w:rPr>
        <w:t xml:space="preserve">5) </w:t>
      </w:r>
      <w:proofErr w:type="gramStart"/>
      <w:r>
        <w:rPr>
          <w:rFonts w:ascii="Times New Roman" w:hAnsi="Times New Roman"/>
          <w:sz w:val="24"/>
        </w:rPr>
        <w:t>ако</w:t>
      </w:r>
      <w:proofErr w:type="gramEnd"/>
      <w:r>
        <w:rPr>
          <w:rFonts w:ascii="Times New Roman" w:hAnsi="Times New Roman"/>
          <w:sz w:val="24"/>
        </w:rPr>
        <w:t xml:space="preserve"> овлашћеном раднику не омогући контролу података из пријаве на лицу места или утврђивање чињеница, података и околности од значаја за утврђивање износа обавезе.</w:t>
      </w:r>
    </w:p>
    <w:p w:rsidR="00DC6B0B" w:rsidRDefault="00DC6B0B">
      <w:pPr>
        <w:ind w:firstLine="720"/>
        <w:jc w:val="both"/>
        <w:rPr>
          <w:rFonts w:ascii="Times New Roman" w:hAnsi="Times New Roman"/>
          <w:sz w:val="24"/>
        </w:rPr>
      </w:pPr>
      <w:proofErr w:type="gramStart"/>
      <w:r>
        <w:rPr>
          <w:rFonts w:ascii="Times New Roman" w:hAnsi="Times New Roman"/>
          <w:sz w:val="24"/>
        </w:rPr>
        <w:t>За прекршаје из става 1.</w:t>
      </w:r>
      <w:proofErr w:type="gramEnd"/>
      <w:r>
        <w:rPr>
          <w:rFonts w:ascii="Times New Roman" w:hAnsi="Times New Roman"/>
          <w:sz w:val="24"/>
        </w:rPr>
        <w:t xml:space="preserve"> </w:t>
      </w:r>
      <w:proofErr w:type="gramStart"/>
      <w:r>
        <w:rPr>
          <w:rFonts w:ascii="Times New Roman" w:hAnsi="Times New Roman"/>
          <w:sz w:val="24"/>
        </w:rPr>
        <w:t>овог</w:t>
      </w:r>
      <w:proofErr w:type="gramEnd"/>
      <w:r>
        <w:rPr>
          <w:rFonts w:ascii="Times New Roman" w:hAnsi="Times New Roman"/>
          <w:sz w:val="24"/>
        </w:rPr>
        <w:t xml:space="preserve"> члана казниће се и:</w:t>
      </w:r>
    </w:p>
    <w:p w:rsidR="00DC6B0B" w:rsidRDefault="00DC6B0B">
      <w:pPr>
        <w:ind w:firstLine="720"/>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одговорно</w:t>
      </w:r>
      <w:proofErr w:type="gramEnd"/>
      <w:r>
        <w:rPr>
          <w:rFonts w:ascii="Times New Roman" w:hAnsi="Times New Roman"/>
          <w:sz w:val="24"/>
        </w:rPr>
        <w:t xml:space="preserve"> лице у правном лицу новчаном казном у износу од  25.000,00  динара;</w:t>
      </w:r>
    </w:p>
    <w:p w:rsidR="00DC6B0B" w:rsidRDefault="00DC6B0B">
      <w:pPr>
        <w:ind w:firstLine="720"/>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предузетник</w:t>
      </w:r>
      <w:proofErr w:type="gramEnd"/>
      <w:r>
        <w:rPr>
          <w:rFonts w:ascii="Times New Roman" w:hAnsi="Times New Roman"/>
          <w:sz w:val="24"/>
        </w:rPr>
        <w:t xml:space="preserve"> новчаном казном у износу од  75.000,00 динара;</w:t>
      </w:r>
    </w:p>
    <w:p w:rsidR="00DC6B0B" w:rsidRDefault="00DC6B0B">
      <w:pPr>
        <w:ind w:firstLine="720"/>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физичко</w:t>
      </w:r>
      <w:proofErr w:type="gramEnd"/>
      <w:r>
        <w:rPr>
          <w:rFonts w:ascii="Times New Roman" w:hAnsi="Times New Roman"/>
          <w:sz w:val="24"/>
        </w:rPr>
        <w:t xml:space="preserve"> лице новчаном казном у износу од  25.000,00 динара.</w:t>
      </w:r>
    </w:p>
    <w:p w:rsidR="00DC6B0B" w:rsidRDefault="00DC6B0B">
      <w:pPr>
        <w:jc w:val="center"/>
        <w:rPr>
          <w:rFonts w:ascii="Times New Roman" w:hAnsi="Times New Roman"/>
          <w:b/>
          <w:sz w:val="24"/>
        </w:rPr>
      </w:pPr>
      <w:r>
        <w:rPr>
          <w:rFonts w:ascii="Times New Roman" w:hAnsi="Times New Roman"/>
          <w:b/>
          <w:sz w:val="24"/>
        </w:rPr>
        <w:t xml:space="preserve"> </w:t>
      </w:r>
    </w:p>
    <w:p w:rsidR="00DC6B0B" w:rsidRDefault="00DC6B0B">
      <w:pPr>
        <w:jc w:val="center"/>
        <w:rPr>
          <w:rFonts w:ascii="Times New Roman" w:hAnsi="Times New Roman"/>
          <w:b/>
          <w:sz w:val="24"/>
        </w:rPr>
      </w:pPr>
    </w:p>
    <w:p w:rsidR="00DC6B0B" w:rsidRDefault="00DC6B0B">
      <w:pPr>
        <w:jc w:val="center"/>
        <w:rPr>
          <w:rFonts w:ascii="Times New Roman" w:hAnsi="Times New Roman"/>
          <w:b/>
          <w:sz w:val="24"/>
        </w:rPr>
      </w:pPr>
      <w:r>
        <w:rPr>
          <w:rFonts w:ascii="Times New Roman" w:hAnsi="Times New Roman"/>
          <w:b/>
          <w:sz w:val="24"/>
        </w:rPr>
        <w:t xml:space="preserve"> IV ПРЕЛАЗНЕ И ЗАВРШНЕ ОДРЕДБЕ</w:t>
      </w:r>
    </w:p>
    <w:p w:rsidR="00DC6B0B" w:rsidRDefault="00DC6B0B">
      <w:pPr>
        <w:spacing w:before="240" w:after="120"/>
        <w:jc w:val="center"/>
        <w:rPr>
          <w:rFonts w:ascii="Times New Roman" w:hAnsi="Times New Roman"/>
          <w:b/>
          <w:sz w:val="24"/>
        </w:rPr>
      </w:pPr>
      <w:r>
        <w:rPr>
          <w:rFonts w:ascii="Times New Roman" w:hAnsi="Times New Roman"/>
          <w:b/>
          <w:sz w:val="24"/>
        </w:rPr>
        <w:lastRenderedPageBreak/>
        <w:t>Члан 17</w:t>
      </w:r>
    </w:p>
    <w:p w:rsidR="00DC6B0B" w:rsidRDefault="00DC6B0B">
      <w:pPr>
        <w:spacing w:before="100" w:after="100"/>
        <w:ind w:firstLine="720"/>
        <w:jc w:val="both"/>
        <w:rPr>
          <w:rFonts w:ascii="Times New Roman" w:hAnsi="Times New Roman"/>
          <w:sz w:val="24"/>
        </w:rPr>
      </w:pPr>
      <w:r>
        <w:rPr>
          <w:rFonts w:ascii="Times New Roman" w:hAnsi="Times New Roman"/>
          <w:sz w:val="24"/>
        </w:rPr>
        <w:t>Даном ступања на снагу ове одлуке престаје да важи Одлука о локалним комуналним таксама ("Сл. гласник града Врања", бр. бр. 43/2012, 42/2013, 28/2014, 2/2015, 23/2015, 40/2016, 8/2017 и 27/2017)</w:t>
      </w:r>
    </w:p>
    <w:p w:rsidR="00DC6B0B" w:rsidRDefault="00DC6B0B">
      <w:pPr>
        <w:spacing w:before="240" w:after="120"/>
        <w:jc w:val="center"/>
        <w:rPr>
          <w:rFonts w:ascii="Times New Roman" w:hAnsi="Times New Roman"/>
          <w:b/>
          <w:sz w:val="24"/>
        </w:rPr>
      </w:pPr>
      <w:r>
        <w:rPr>
          <w:rFonts w:ascii="Times New Roman" w:hAnsi="Times New Roman"/>
          <w:b/>
          <w:sz w:val="24"/>
        </w:rPr>
        <w:t>Члан 18</w:t>
      </w:r>
    </w:p>
    <w:p w:rsidR="00DC6B0B" w:rsidRDefault="00DC6B0B">
      <w:pPr>
        <w:spacing w:before="100" w:after="100"/>
        <w:ind w:firstLine="720"/>
        <w:jc w:val="both"/>
        <w:rPr>
          <w:rFonts w:ascii="Times New Roman" w:hAnsi="Times New Roman"/>
          <w:sz w:val="24"/>
        </w:rPr>
      </w:pPr>
      <w:proofErr w:type="gramStart"/>
      <w:r>
        <w:rPr>
          <w:rFonts w:ascii="Times New Roman" w:hAnsi="Times New Roman"/>
          <w:sz w:val="24"/>
        </w:rPr>
        <w:t>Ова Одлука ступа на снагу даном објављивања у "Службеном гласнику града Врања".</w:t>
      </w:r>
      <w:proofErr w:type="gramEnd"/>
    </w:p>
    <w:p w:rsidR="00DC6B0B" w:rsidRDefault="00DC6B0B">
      <w:pPr>
        <w:jc w:val="center"/>
        <w:rPr>
          <w:rFonts w:ascii="Times New Roman" w:hAnsi="Times New Roman"/>
          <w:b/>
        </w:rPr>
      </w:pPr>
      <w:r>
        <w:rPr>
          <w:rFonts w:ascii="Times New Roman" w:hAnsi="Times New Roman"/>
          <w:sz w:val="24"/>
        </w:rPr>
        <w:t xml:space="preserve">                            </w:t>
      </w:r>
    </w:p>
    <w:p w:rsidR="00DC6B0B" w:rsidRDefault="00DC6B0B">
      <w:pPr>
        <w:jc w:val="center"/>
        <w:rPr>
          <w:rFonts w:ascii="Times New Roman" w:hAnsi="Times New Roman"/>
          <w:b/>
          <w:sz w:val="24"/>
        </w:rPr>
      </w:pPr>
      <w:r>
        <w:rPr>
          <w:rFonts w:ascii="Times New Roman" w:hAnsi="Times New Roman"/>
          <w:b/>
          <w:sz w:val="24"/>
        </w:rPr>
        <w:t>СКУПШТИН</w:t>
      </w:r>
      <w:r>
        <w:rPr>
          <w:rFonts w:ascii="Times New Roman" w:hAnsi="Times New Roman"/>
          <w:sz w:val="24"/>
        </w:rPr>
        <w:t xml:space="preserve">А </w:t>
      </w:r>
      <w:r>
        <w:rPr>
          <w:rFonts w:ascii="Times New Roman" w:hAnsi="Times New Roman"/>
          <w:b/>
          <w:sz w:val="24"/>
        </w:rPr>
        <w:t>ГРАДА ВРАЊА</w:t>
      </w:r>
    </w:p>
    <w:p w:rsidR="00DC6B0B" w:rsidRPr="00E279BE" w:rsidRDefault="00E279BE">
      <w:pPr>
        <w:jc w:val="center"/>
        <w:rPr>
          <w:rFonts w:ascii="Times New Roman" w:hAnsi="Times New Roman"/>
          <w:sz w:val="24"/>
          <w:lang w:val="sr-Cyrl-CS"/>
        </w:rPr>
      </w:pPr>
      <w:r>
        <w:rPr>
          <w:rFonts w:ascii="Times New Roman" w:hAnsi="Times New Roman"/>
          <w:b/>
          <w:sz w:val="24"/>
          <w:lang w:val="sr-Cyrl-CS"/>
        </w:rPr>
        <w:t>25.01.2019.године,</w:t>
      </w:r>
      <w:r w:rsidR="00DC6B0B">
        <w:rPr>
          <w:rFonts w:ascii="Times New Roman" w:hAnsi="Times New Roman"/>
          <w:b/>
          <w:sz w:val="24"/>
        </w:rPr>
        <w:t xml:space="preserve"> бр</w:t>
      </w:r>
      <w:r>
        <w:rPr>
          <w:rFonts w:ascii="Times New Roman" w:hAnsi="Times New Roman"/>
          <w:b/>
          <w:sz w:val="24"/>
          <w:lang w:val="sr-Cyrl-CS"/>
        </w:rPr>
        <w:t>ој: 434-28/2019-10</w:t>
      </w:r>
    </w:p>
    <w:p w:rsidR="00DC6B0B" w:rsidRDefault="00DC6B0B">
      <w:pPr>
        <w:rPr>
          <w:rFonts w:ascii="Times New Roman" w:hAnsi="Times New Roman"/>
          <w:color w:val="000000"/>
          <w:sz w:val="24"/>
        </w:rPr>
      </w:pPr>
      <w:r>
        <w:rPr>
          <w:rFonts w:ascii="Times New Roman" w:hAnsi="Times New Roman"/>
          <w:color w:val="000000"/>
          <w:sz w:val="24"/>
        </w:rPr>
        <w:t xml:space="preserve">                                                                                                                </w:t>
      </w:r>
    </w:p>
    <w:p w:rsidR="00DC6B0B" w:rsidRDefault="00DC6B0B">
      <w:pPr>
        <w:rPr>
          <w:rFonts w:ascii="Times New Roman" w:hAnsi="Times New Roman"/>
          <w:color w:val="000000"/>
          <w:sz w:val="24"/>
        </w:rPr>
      </w:pPr>
    </w:p>
    <w:p w:rsidR="00DC6B0B" w:rsidRDefault="00DC6B0B">
      <w:pPr>
        <w:rPr>
          <w:rFonts w:ascii="Times New Roman" w:hAnsi="Times New Roman"/>
          <w:b/>
          <w:color w:val="000000"/>
          <w:sz w:val="24"/>
        </w:rPr>
      </w:pPr>
      <w:r>
        <w:rPr>
          <w:rFonts w:ascii="Times New Roman" w:hAnsi="Times New Roman"/>
          <w:color w:val="000000"/>
          <w:sz w:val="24"/>
        </w:rPr>
        <w:t xml:space="preserve">                                                                                </w:t>
      </w:r>
      <w:r>
        <w:rPr>
          <w:rFonts w:ascii="Times New Roman" w:hAnsi="Times New Roman"/>
          <w:b/>
          <w:color w:val="000000"/>
          <w:sz w:val="24"/>
        </w:rPr>
        <w:t>ПРЕДСЕДНИК СКУПШТИНЕ</w:t>
      </w:r>
    </w:p>
    <w:p w:rsidR="00DC6B0B" w:rsidRDefault="00DC6B0B">
      <w:pPr>
        <w:jc w:val="center"/>
        <w:rPr>
          <w:rFonts w:ascii="Times New Roman" w:hAnsi="Times New Roman"/>
          <w:b/>
          <w:color w:val="000000"/>
          <w:sz w:val="24"/>
          <w:lang w:val="sr-Cyrl-CS"/>
        </w:rPr>
      </w:pPr>
      <w:r>
        <w:rPr>
          <w:rFonts w:ascii="Times New Roman" w:hAnsi="Times New Roman"/>
          <w:b/>
          <w:color w:val="000000"/>
          <w:sz w:val="24"/>
        </w:rPr>
        <w:t xml:space="preserve">                                           </w:t>
      </w:r>
      <w:r w:rsidR="00E279BE">
        <w:rPr>
          <w:rFonts w:ascii="Times New Roman" w:hAnsi="Times New Roman"/>
          <w:b/>
          <w:color w:val="000000"/>
          <w:sz w:val="24"/>
        </w:rPr>
        <w:t xml:space="preserve">                 </w:t>
      </w:r>
      <w:r>
        <w:rPr>
          <w:rFonts w:ascii="Times New Roman" w:hAnsi="Times New Roman"/>
          <w:b/>
          <w:color w:val="000000"/>
          <w:sz w:val="24"/>
        </w:rPr>
        <w:t xml:space="preserve">Дејан Тричковић, спец. </w:t>
      </w:r>
      <w:r w:rsidR="00E279BE">
        <w:rPr>
          <w:rFonts w:ascii="Times New Roman" w:hAnsi="Times New Roman"/>
          <w:b/>
          <w:color w:val="000000"/>
          <w:sz w:val="24"/>
          <w:lang w:val="sr-Cyrl-CS"/>
        </w:rPr>
        <w:t>д</w:t>
      </w:r>
      <w:r>
        <w:rPr>
          <w:rFonts w:ascii="Times New Roman" w:hAnsi="Times New Roman"/>
          <w:b/>
          <w:color w:val="000000"/>
          <w:sz w:val="24"/>
        </w:rPr>
        <w:t>вм</w:t>
      </w:r>
      <w:r w:rsidR="00E279BE">
        <w:rPr>
          <w:rFonts w:ascii="Times New Roman" w:hAnsi="Times New Roman"/>
          <w:b/>
          <w:color w:val="000000"/>
          <w:sz w:val="24"/>
          <w:lang w:val="sr-Cyrl-CS"/>
        </w:rPr>
        <w:t>,с.р.</w:t>
      </w:r>
    </w:p>
    <w:p w:rsidR="00E279BE" w:rsidRDefault="00E279BE" w:rsidP="00E279BE">
      <w:pPr>
        <w:rPr>
          <w:rFonts w:ascii="Times New Roman" w:hAnsi="Times New Roman"/>
          <w:b/>
          <w:color w:val="000000"/>
          <w:sz w:val="24"/>
          <w:lang w:val="sr-Cyrl-CS"/>
        </w:rPr>
      </w:pPr>
    </w:p>
    <w:p w:rsidR="00E279BE" w:rsidRDefault="00E279BE" w:rsidP="00E279BE">
      <w:pPr>
        <w:rPr>
          <w:rFonts w:ascii="Times New Roman" w:hAnsi="Times New Roman"/>
          <w:b/>
          <w:color w:val="000000"/>
          <w:sz w:val="24"/>
          <w:lang w:val="sr-Cyrl-CS"/>
        </w:rPr>
      </w:pPr>
      <w:r>
        <w:rPr>
          <w:rFonts w:ascii="Times New Roman" w:hAnsi="Times New Roman"/>
          <w:b/>
          <w:color w:val="000000"/>
          <w:sz w:val="24"/>
          <w:lang w:val="sr-Cyrl-CS"/>
        </w:rPr>
        <w:t>ТАЧНОСТ ПРЕПИСА ОВЕРАВА:                    СЕКРЕТАР СКУПШТИНЕ</w:t>
      </w:r>
    </w:p>
    <w:p w:rsidR="00E279BE" w:rsidRPr="00E279BE" w:rsidRDefault="00E279BE" w:rsidP="00E279BE">
      <w:pPr>
        <w:rPr>
          <w:rFonts w:ascii="Times New Roman" w:hAnsi="Times New Roman"/>
          <w:b/>
          <w:color w:val="000000"/>
          <w:sz w:val="24"/>
          <w:lang w:val="sr-Cyrl-CS"/>
        </w:rPr>
      </w:pPr>
      <w:r>
        <w:rPr>
          <w:rFonts w:ascii="Times New Roman" w:hAnsi="Times New Roman"/>
          <w:b/>
          <w:color w:val="000000"/>
          <w:sz w:val="24"/>
          <w:lang w:val="sr-Cyrl-CS"/>
        </w:rPr>
        <w:t xml:space="preserve">                                                                                           Марко Тричковић</w:t>
      </w:r>
    </w:p>
    <w:p w:rsidR="00DC6B0B" w:rsidRDefault="00DC6B0B">
      <w:pPr>
        <w:rPr>
          <w:rFonts w:ascii="Times New Roman" w:hAnsi="Times New Roman"/>
          <w:color w:val="000000"/>
        </w:rPr>
      </w:pPr>
    </w:p>
    <w:p w:rsidR="00DC6B0B" w:rsidRDefault="00DC6B0B">
      <w:pPr>
        <w:spacing w:before="100" w:after="100"/>
        <w:ind w:firstLine="720"/>
        <w:jc w:val="both"/>
        <w:rPr>
          <w:rFonts w:ascii="Times New Roman" w:hAnsi="Times New Roman"/>
          <w:sz w:val="24"/>
        </w:rPr>
      </w:pPr>
    </w:p>
    <w:p w:rsidR="00DC6B0B" w:rsidRDefault="00DC6B0B">
      <w:pPr>
        <w:rPr>
          <w:rFonts w:ascii="Times New Roman" w:hAnsi="Times New Roman"/>
          <w:sz w:val="24"/>
        </w:rPr>
      </w:pPr>
      <w:r>
        <w:rPr>
          <w:rFonts w:ascii="Times New Roman" w:hAnsi="Times New Roman"/>
          <w:sz w:val="24"/>
        </w:rPr>
        <w:t xml:space="preserve">  </w:t>
      </w:r>
    </w:p>
    <w:p w:rsidR="00DC6B0B" w:rsidRDefault="00DC6B0B">
      <w:pPr>
        <w:jc w:val="center"/>
        <w:rPr>
          <w:rFonts w:ascii="Times New Roman" w:hAnsi="Times New Roman"/>
          <w:b/>
          <w:sz w:val="24"/>
        </w:rPr>
      </w:pPr>
      <w:r>
        <w:rPr>
          <w:rFonts w:ascii="Times New Roman" w:hAnsi="Times New Roman"/>
          <w:b/>
          <w:sz w:val="24"/>
        </w:rPr>
        <w:t>ТАРИФА ЛОКАЛНИХ КОМУНАЛНИХ ТАКСИ</w:t>
      </w:r>
    </w:p>
    <w:p w:rsidR="00DC6B0B" w:rsidRDefault="00DC6B0B">
      <w:pPr>
        <w:spacing w:before="240" w:after="240"/>
        <w:jc w:val="center"/>
        <w:rPr>
          <w:rFonts w:ascii="Times New Roman" w:hAnsi="Times New Roman"/>
          <w:b/>
          <w:sz w:val="24"/>
        </w:rPr>
      </w:pPr>
      <w:proofErr w:type="gramStart"/>
      <w:r>
        <w:rPr>
          <w:rFonts w:ascii="Times New Roman" w:hAnsi="Times New Roman"/>
          <w:b/>
          <w:sz w:val="24"/>
        </w:rPr>
        <w:t>Тарифни број 1.</w:t>
      </w:r>
      <w:proofErr w:type="gramEnd"/>
      <w:r>
        <w:rPr>
          <w:rFonts w:ascii="Times New Roman" w:hAnsi="Times New Roman"/>
          <w:b/>
          <w:sz w:val="24"/>
        </w:rPr>
        <w:t xml:space="preserve"> </w:t>
      </w:r>
    </w:p>
    <w:p w:rsidR="00DC6B0B" w:rsidRDefault="00DC6B0B">
      <w:pPr>
        <w:spacing w:before="100" w:after="100"/>
        <w:jc w:val="both"/>
        <w:rPr>
          <w:rFonts w:ascii="Times New Roman" w:hAnsi="Times New Roman"/>
          <w:sz w:val="24"/>
        </w:rPr>
      </w:pPr>
      <w:r>
        <w:rPr>
          <w:rFonts w:ascii="Times New Roman" w:hAnsi="Times New Roman"/>
          <w:sz w:val="24"/>
        </w:rPr>
        <w:t xml:space="preserve">За истицање фирме на пословном простору такса се, у зависности од делатности, површине, и техничко-употребних карактеристика објеката и величине правног лица у смислу закона којим се уређује рачуноводство и по деловима територије, односно зонама, плаћа на годишњем нивоу: </w:t>
      </w:r>
    </w:p>
    <w:p w:rsidR="00DC6B0B" w:rsidRDefault="00DC6B0B">
      <w:pPr>
        <w:spacing w:before="100" w:after="100"/>
        <w:jc w:val="both"/>
        <w:rPr>
          <w:rFonts w:ascii="Times New Roman" w:hAnsi="Times New Roman"/>
          <w:sz w:val="24"/>
        </w:rPr>
      </w:pPr>
      <w:r>
        <w:rPr>
          <w:rFonts w:ascii="Times New Roman" w:hAnsi="Times New Roman"/>
          <w:sz w:val="24"/>
        </w:rPr>
        <w:t xml:space="preserve">1. За правна лица која су према закону којим се уређује рачуноводство разврстана у велика, средња и мала правна лица, у смислу закона којим се уређује рачуноводство и предузетници, 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фирмарину плаћају на годишњем нивоу у износу десет просечних зарада по запосленом; </w:t>
      </w:r>
    </w:p>
    <w:p w:rsidR="00DC6B0B" w:rsidRDefault="00DC6B0B">
      <w:pPr>
        <w:spacing w:before="100" w:after="100"/>
        <w:jc w:val="both"/>
        <w:rPr>
          <w:rFonts w:ascii="Times New Roman" w:hAnsi="Times New Roman"/>
          <w:sz w:val="24"/>
        </w:rPr>
      </w:pPr>
      <w:r>
        <w:rPr>
          <w:rFonts w:ascii="Times New Roman" w:hAnsi="Times New Roman"/>
          <w:sz w:val="24"/>
        </w:rPr>
        <w:t xml:space="preserve">2. За правна лица која су према закону којим се уређује рачуноводство разврстана у велика, средња и мала правна лица, у смислу закона којим се уређује рачуноводство и предузетници, а обављају делатност трговине нафтом и дериватима нафте, у сеоским срединама, фирмарину плаћају на годишњем нивоу у износу од 10% од десет просечних зарада по запосленом; </w:t>
      </w:r>
    </w:p>
    <w:p w:rsidR="00DC6B0B" w:rsidRDefault="00DC6B0B">
      <w:pPr>
        <w:spacing w:before="100" w:after="100"/>
        <w:jc w:val="both"/>
        <w:rPr>
          <w:rFonts w:ascii="Times New Roman" w:hAnsi="Times New Roman"/>
          <w:sz w:val="24"/>
        </w:rPr>
      </w:pPr>
      <w:r>
        <w:rPr>
          <w:rFonts w:ascii="Times New Roman" w:hAnsi="Times New Roman"/>
          <w:sz w:val="24"/>
        </w:rPr>
        <w:t xml:space="preserve">3. За правна лица која су према закону којим се уређује рачуноводство разврстана у велика, средња и мала правна лица, у смислу закона којим се уређује рачуноводство и </w:t>
      </w:r>
      <w:r>
        <w:rPr>
          <w:rFonts w:ascii="Times New Roman" w:hAnsi="Times New Roman"/>
          <w:sz w:val="24"/>
        </w:rPr>
        <w:lastRenderedPageBreak/>
        <w:t xml:space="preserve">предузетници, а обављају делатност казина, коцкарница, кладионица, бинго сала и пружања коцкарских услуга и дискотека, фирмарину плаћају на годишњем нивоу у износу од десет просечних зарада по запосленом; </w:t>
      </w:r>
    </w:p>
    <w:p w:rsidR="00DC6B0B" w:rsidRDefault="00DC6B0B">
      <w:pPr>
        <w:spacing w:before="100" w:after="100"/>
        <w:jc w:val="both"/>
        <w:rPr>
          <w:rFonts w:ascii="Times New Roman" w:hAnsi="Times New Roman"/>
          <w:sz w:val="24"/>
        </w:rPr>
      </w:pPr>
      <w:r>
        <w:rPr>
          <w:rFonts w:ascii="Times New Roman" w:hAnsi="Times New Roman"/>
          <w:sz w:val="24"/>
        </w:rPr>
        <w:t xml:space="preserve">4. За правна лица која су према закону којим се уређује рачуноводство разврстана у средња правна лица, као и предузетници и мала правна лица чији годишњи приход прелази 50.000.000,00 динара, осим предузетника и правних лица из тачака 1, 2, 3 и 4 овог тарифног броја, фирмарину плаћају на годишњем нивоу у износу од две просечне зараде по запосленом; </w:t>
      </w:r>
    </w:p>
    <w:p w:rsidR="00DC6B0B" w:rsidRDefault="00DC6B0B">
      <w:pPr>
        <w:rPr>
          <w:rFonts w:ascii="Times New Roman" w:hAnsi="Times New Roman"/>
          <w:sz w:val="24"/>
        </w:rPr>
      </w:pPr>
      <w:r>
        <w:rPr>
          <w:rFonts w:ascii="Times New Roman" w:hAnsi="Times New Roman"/>
          <w:sz w:val="24"/>
        </w:rPr>
        <w:t>5. За правна лица која су према закону којим се уређује рачуноводство разврстана у велика правна лица, осим правних лица из тачака 1, 2, 3 и 4 овог тарифног броја, фирмарину плаћају на годишњем нивоу у износу од три просечне зараде по запосленом;</w:t>
      </w:r>
    </w:p>
    <w:p w:rsidR="00DC6B0B" w:rsidRDefault="00DC6B0B">
      <w:pPr>
        <w:spacing w:before="100" w:after="100"/>
        <w:jc w:val="both"/>
        <w:rPr>
          <w:rFonts w:ascii="Times New Roman" w:hAnsi="Times New Roman"/>
          <w:sz w:val="24"/>
        </w:rPr>
      </w:pPr>
      <w:r>
        <w:rPr>
          <w:rFonts w:ascii="Times New Roman" w:hAnsi="Times New Roman"/>
          <w:sz w:val="24"/>
        </w:rPr>
        <w:t xml:space="preserve">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Просечна зарада, у смислу одредаба овог тарифног броја, јесте просечна зарада по запосленом остварена на територији града Врања у периоду јануар-август године која претходи години за коју се утврђује комунална такса према подацима републичког органа надлежног за послове статистике, а која за поменути период износи 58.147,00 динара.</w:t>
      </w:r>
      <w:proofErr w:type="gramEnd"/>
    </w:p>
    <w:p w:rsidR="00DC6B0B" w:rsidRDefault="00DC6B0B">
      <w:pPr>
        <w:spacing w:before="100" w:after="100"/>
        <w:rPr>
          <w:rFonts w:ascii="Times New Roman" w:hAnsi="Times New Roman"/>
          <w:sz w:val="24"/>
        </w:rPr>
      </w:pPr>
      <w:r>
        <w:rPr>
          <w:rFonts w:ascii="Times New Roman" w:hAnsi="Times New Roman"/>
          <w:b/>
          <w:sz w:val="24"/>
        </w:rPr>
        <w:t>НАПОМЕНА:</w:t>
      </w:r>
    </w:p>
    <w:p w:rsidR="00DC6B0B" w:rsidRDefault="00DC6B0B">
      <w:pPr>
        <w:spacing w:before="100" w:after="100"/>
        <w:jc w:val="both"/>
        <w:rPr>
          <w:rFonts w:ascii="Times New Roman" w:hAnsi="Times New Roman"/>
          <w:sz w:val="24"/>
        </w:rPr>
      </w:pPr>
      <w:proofErr w:type="gramStart"/>
      <w:r>
        <w:rPr>
          <w:rFonts w:ascii="Times New Roman" w:hAnsi="Times New Roman"/>
          <w:sz w:val="24"/>
        </w:rPr>
        <w:t>Таксу по овом тарифном броју утврђује, наплаћује и контролише Организациона јединица Градске управе надлежна за послове финансија.</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Обвезници по овом тарифном броју су правна и физичка лица регистрована за обављање пословне делатности код Агенције за привредне регистре и Трговинског суда, за истакнуту фирму на пословном простору.</w:t>
      </w:r>
      <w:proofErr w:type="gramEnd"/>
      <w:r>
        <w:rPr>
          <w:rFonts w:ascii="Times New Roman" w:hAnsi="Times New Roman"/>
          <w:sz w:val="24"/>
        </w:rPr>
        <w:t xml:space="preserve"> Фирма, у смислу Закона о финансирању локалне самоуправе и ове одлуке, јесте сваки истакнути назив или име које упућује на то да правно или физичко лице обавља одређену делатност, без обзира да ли се обележје налази са улице, у ходнику, дворишту, на степеништу, улазним вратима или на ма ком другом месту зграде, бараке и др. </w:t>
      </w:r>
      <w:proofErr w:type="gramStart"/>
      <w:r>
        <w:rPr>
          <w:rFonts w:ascii="Times New Roman" w:hAnsi="Times New Roman"/>
          <w:sz w:val="24"/>
        </w:rPr>
        <w:t>где</w:t>
      </w:r>
      <w:proofErr w:type="gramEnd"/>
      <w:r>
        <w:rPr>
          <w:rFonts w:ascii="Times New Roman" w:hAnsi="Times New Roman"/>
          <w:sz w:val="24"/>
        </w:rPr>
        <w:t xml:space="preserve"> се налази пословна просторија у којој се основна делатност или занимање обавља. </w:t>
      </w:r>
    </w:p>
    <w:p w:rsidR="00DC6B0B" w:rsidRDefault="00DC6B0B">
      <w:pPr>
        <w:spacing w:before="100" w:after="100"/>
        <w:jc w:val="both"/>
        <w:rPr>
          <w:rFonts w:ascii="Times New Roman" w:hAnsi="Times New Roman"/>
          <w:sz w:val="24"/>
        </w:rPr>
      </w:pPr>
      <w:r>
        <w:rPr>
          <w:rFonts w:ascii="Times New Roman" w:hAnsi="Times New Roman"/>
          <w:sz w:val="24"/>
        </w:rPr>
        <w:t xml:space="preserve">Обвезник подноси пријаву за локалну комуналну таксу за истицање фирме на пословном простору (ПП ЛКТ) која садржи следеће елементе: назив обвезника, седиште обвезника, адресу објекта у коме се обавља делатност, ПИБ, шифру и назив претежне делатности, површину, опис техничко-употребних карактеристика објекта, величине правног лица, висине годишњих прихода, изјаву о истакнутој фирми ван пословног простора. </w:t>
      </w:r>
    </w:p>
    <w:p w:rsidR="00DC6B0B" w:rsidRDefault="00DC6B0B">
      <w:pPr>
        <w:spacing w:before="100" w:after="100"/>
        <w:jc w:val="both"/>
        <w:rPr>
          <w:rFonts w:ascii="Times New Roman" w:hAnsi="Times New Roman"/>
          <w:sz w:val="24"/>
        </w:rPr>
      </w:pPr>
      <w:proofErr w:type="gramStart"/>
      <w:r>
        <w:rPr>
          <w:rFonts w:ascii="Times New Roman" w:hAnsi="Times New Roman"/>
          <w:sz w:val="24"/>
        </w:rPr>
        <w:t>У прилогу пријаве доставља се документација од значаја за утврђивање износа локалне комуналне таксе, нпр.</w:t>
      </w:r>
      <w:proofErr w:type="gramEnd"/>
      <w:r>
        <w:rPr>
          <w:rFonts w:ascii="Times New Roman" w:hAnsi="Times New Roman"/>
          <w:sz w:val="24"/>
        </w:rPr>
        <w:t xml:space="preserve"> </w:t>
      </w:r>
      <w:proofErr w:type="gramStart"/>
      <w:r>
        <w:rPr>
          <w:rFonts w:ascii="Times New Roman" w:hAnsi="Times New Roman"/>
          <w:sz w:val="24"/>
        </w:rPr>
        <w:t>уговор</w:t>
      </w:r>
      <w:proofErr w:type="gramEnd"/>
      <w:r>
        <w:rPr>
          <w:rFonts w:ascii="Times New Roman" w:hAnsi="Times New Roman"/>
          <w:sz w:val="24"/>
        </w:rPr>
        <w:t xml:space="preserve"> о закупу непокретности или доказ о власништву објекта у коме се обавља делатност. </w:t>
      </w:r>
    </w:p>
    <w:p w:rsidR="00DC6B0B" w:rsidRDefault="00DC6B0B">
      <w:pPr>
        <w:spacing w:before="100" w:after="100"/>
        <w:jc w:val="both"/>
        <w:rPr>
          <w:rFonts w:ascii="Times New Roman" w:hAnsi="Times New Roman"/>
          <w:sz w:val="24"/>
        </w:rPr>
      </w:pPr>
      <w:proofErr w:type="gramStart"/>
      <w:r>
        <w:rPr>
          <w:rFonts w:ascii="Times New Roman" w:hAnsi="Times New Roman"/>
          <w:sz w:val="24"/>
        </w:rPr>
        <w:t>Такса из овог тарифног броја плаћа се за седиште, издвојену просторију, представништво и за сваку пословну јединицу привредних субјеката који обављају делатност на територији града Врања.</w:t>
      </w:r>
      <w:proofErr w:type="gramEnd"/>
      <w:r>
        <w:rPr>
          <w:rFonts w:ascii="Times New Roman" w:hAnsi="Times New Roman"/>
          <w:sz w:val="24"/>
        </w:rPr>
        <w:t xml:space="preserve"> </w:t>
      </w:r>
    </w:p>
    <w:p w:rsidR="00DC6B0B" w:rsidRDefault="00DC6B0B">
      <w:pPr>
        <w:rPr>
          <w:rFonts w:ascii="Times New Roman" w:hAnsi="Times New Roman"/>
          <w:sz w:val="24"/>
          <w:lang w:val="sr-Cyrl-CS"/>
        </w:rPr>
      </w:pPr>
      <w:proofErr w:type="gramStart"/>
      <w:r>
        <w:rPr>
          <w:rFonts w:ascii="Times New Roman" w:hAnsi="Times New Roman"/>
          <w:sz w:val="24"/>
        </w:rPr>
        <w:t>Ако је обвезнику комуналне таксе у надлежном регистру уписана једна претежна делатност, а у пословном простору обавља и друге делатности, плаћа таксу одређену за делатност са највећим прописаним износом.</w:t>
      </w:r>
      <w:proofErr w:type="gramEnd"/>
    </w:p>
    <w:p w:rsidR="00BE7122" w:rsidRPr="00BE7122" w:rsidRDefault="00BE7122">
      <w:pPr>
        <w:rPr>
          <w:rFonts w:ascii="Times New Roman" w:hAnsi="Times New Roman"/>
          <w:sz w:val="24"/>
          <w:lang w:val="sr-Cyrl-CS"/>
        </w:rPr>
      </w:pPr>
    </w:p>
    <w:p w:rsidR="00DC6B0B" w:rsidRDefault="00DC6B0B">
      <w:pPr>
        <w:spacing w:before="100" w:after="100"/>
        <w:rPr>
          <w:rFonts w:ascii="Times New Roman" w:hAnsi="Times New Roman"/>
          <w:sz w:val="24"/>
        </w:rPr>
      </w:pPr>
      <w:r>
        <w:rPr>
          <w:rFonts w:ascii="Times New Roman" w:hAnsi="Times New Roman"/>
          <w:b/>
          <w:sz w:val="24"/>
        </w:rPr>
        <w:lastRenderedPageBreak/>
        <w:t>ОСЛОБАЂАЊА</w:t>
      </w:r>
    </w:p>
    <w:p w:rsidR="00DC6B0B" w:rsidRDefault="00DC6B0B">
      <w:pPr>
        <w:spacing w:before="100" w:after="100"/>
        <w:jc w:val="both"/>
        <w:rPr>
          <w:rFonts w:ascii="Times New Roman" w:hAnsi="Times New Roman"/>
          <w:sz w:val="24"/>
        </w:rPr>
      </w:pPr>
      <w:r>
        <w:rPr>
          <w:rFonts w:ascii="Times New Roman" w:hAnsi="Times New Roman"/>
          <w:sz w:val="24"/>
        </w:rPr>
        <w:t xml:space="preserve">Инвеститори, домаћи и страни, који запосле 20 и више радника не плаћају комуналну таксу из овог тарифног броја у периоду од 3 године за новоистакнуту фирму, под условом да укупан број радника, са пребивалиштем на територији града Врања, сваког месеца у том периоду, не буде мањи од броја који се добија када се број постојећих радника у тренутку инвестиције сабере са бројем новозапослених (укупан број запослених = број запослених пре инвестиције + најмање 20 новозапослених). Инвеститор је у обавези да на захтев Одељења за буџет и финансије достави или стави на увид доказе запослености: ПП ОД образац, пријаве на пензионо и здравствено осигурање и М4 обрасце. </w:t>
      </w:r>
    </w:p>
    <w:p w:rsidR="00DC6B0B" w:rsidRDefault="00DC6B0B">
      <w:pPr>
        <w:rPr>
          <w:rFonts w:ascii="Times New Roman" w:hAnsi="Times New Roman"/>
          <w:sz w:val="24"/>
        </w:rPr>
      </w:pPr>
      <w:r>
        <w:rPr>
          <w:rFonts w:ascii="Times New Roman" w:hAnsi="Times New Roman"/>
          <w:sz w:val="24"/>
        </w:rPr>
        <w:t>Туристичка организација Врање, Предшколска установа "Наше дете", Јавна библиотека, Народни универзитет, Народни музеј, Историјски архив, Позориште "Бора Станковић", Омладински савез, Књижевна заједница "Бора Станковић", Спортска хала, Спортски савез, Школа анимираног филма, Градска организација Црвеног крста, Здравствени центар Врање, основне и средње школе, Регионални центар за таленте у Врању, Социо-хуманитарне организације ослобађају се обавезе плаћања комуналне таксе за истакнуту фирму</w:t>
      </w:r>
    </w:p>
    <w:p w:rsidR="00DC6B0B" w:rsidRDefault="00DC6B0B">
      <w:pPr>
        <w:spacing w:before="100" w:after="100"/>
        <w:jc w:val="both"/>
        <w:rPr>
          <w:rFonts w:ascii="Times New Roman" w:hAnsi="Times New Roman"/>
          <w:sz w:val="24"/>
        </w:rPr>
      </w:pPr>
      <w:proofErr w:type="gramStart"/>
      <w:r>
        <w:rPr>
          <w:rFonts w:ascii="Times New Roman" w:hAnsi="Times New Roman"/>
          <w:sz w:val="24"/>
        </w:rPr>
        <w:t>Јавна предузећа и установе, који се највећим делом финансирају из буџета града Врања, ослобођени су плаћања локалних комуналних такси из овог тарифног броја.</w:t>
      </w:r>
      <w:proofErr w:type="gramEnd"/>
      <w:r>
        <w:rPr>
          <w:rFonts w:ascii="Times New Roman" w:hAnsi="Times New Roman"/>
          <w:sz w:val="24"/>
        </w:rPr>
        <w:t xml:space="preserve"> </w:t>
      </w:r>
    </w:p>
    <w:p w:rsidR="00DC6B0B" w:rsidRDefault="00DC6B0B">
      <w:pPr>
        <w:rPr>
          <w:rFonts w:ascii="Times New Roman" w:hAnsi="Times New Roman"/>
          <w:sz w:val="24"/>
        </w:rPr>
      </w:pPr>
      <w:proofErr w:type="gramStart"/>
      <w:r>
        <w:rPr>
          <w:rFonts w:ascii="Times New Roman" w:hAnsi="Times New Roman"/>
          <w:sz w:val="24"/>
        </w:rPr>
        <w:t>Ослобођени су плаћања локалних комуналних такси из овог тарифног броја обвезници који имају статус мировања (привремена одјава) за време трајања мировања (привремене одјаве).</w:t>
      </w:r>
      <w:proofErr w:type="gramEnd"/>
      <w:r>
        <w:rPr>
          <w:rFonts w:ascii="Times New Roman" w:hAnsi="Times New Roman"/>
          <w:sz w:val="24"/>
        </w:rPr>
        <w:t xml:space="preserve"> </w:t>
      </w:r>
      <w:proofErr w:type="gramStart"/>
      <w:r>
        <w:rPr>
          <w:rFonts w:ascii="Times New Roman" w:hAnsi="Times New Roman"/>
          <w:sz w:val="24"/>
        </w:rPr>
        <w:t>Статус мировања (привремене одјаве) доказује се решењем Агенције за привредне регистре о привременој одјави обављања делатности.</w:t>
      </w:r>
      <w:proofErr w:type="gramEnd"/>
    </w:p>
    <w:p w:rsidR="00DC6B0B" w:rsidRDefault="00DC6B0B">
      <w:pPr>
        <w:spacing w:before="100" w:after="100"/>
        <w:rPr>
          <w:rFonts w:ascii="Times New Roman" w:hAnsi="Times New Roman"/>
          <w:sz w:val="24"/>
        </w:rPr>
      </w:pPr>
      <w:proofErr w:type="gramStart"/>
      <w:r>
        <w:rPr>
          <w:rFonts w:ascii="Times New Roman" w:hAnsi="Times New Roman"/>
          <w:sz w:val="24"/>
        </w:rPr>
        <w:t>Спортски клубови и удружења грађана који не остварују приход на основу кога се плаћа порез ослобађају се плаћања таксе из овог тарифног броја.</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r>
        <w:rPr>
          <w:rFonts w:ascii="Times New Roman" w:hAnsi="Times New Roman"/>
          <w:sz w:val="24"/>
        </w:rPr>
        <w:t xml:space="preserve">Обвезник који има више од 1 истакнуте фирме за коју је износ таксе изнад две односно три просечне зараде по запосленом оствареној на територији града Врања у периоду јануар-август године која претходи години за коју се утврђује фирмарина, према подацима републичког органа надлежног за послове статистике, за сваку наредну истакнуту фирму такса се умањује за 50%. </w:t>
      </w:r>
    </w:p>
    <w:p w:rsidR="00DC6B0B" w:rsidRDefault="00DC6B0B">
      <w:pPr>
        <w:spacing w:before="100" w:after="100"/>
        <w:jc w:val="both"/>
        <w:rPr>
          <w:rFonts w:ascii="Times New Roman" w:hAnsi="Times New Roman"/>
          <w:sz w:val="24"/>
        </w:rPr>
      </w:pPr>
      <w:r>
        <w:rPr>
          <w:rFonts w:ascii="Times New Roman" w:hAnsi="Times New Roman"/>
          <w:sz w:val="24"/>
        </w:rPr>
        <w:t xml:space="preserve">Обвезник који има више од 1 истакнуте фирме а разврстан је у велико, средње или мало правно лице, у смислу закона којим се уређује рачуноводство И предузетници а обавља делатност поштанских услуга, делатност казина, коцкарница, кладионица, бинго сала и пружања коцкарских услуга, ноћних барова и дискотека за сваку наредну истакнуту фирму, фирмарину плаћа на годишњем нивоу у износу десет просечних зарада по запосленом оствареној на територији града Врања у периоду јануар-август године која претходи години за коју се утврђује фирмарина, према подацима републичког органа надлежног за послове статистике.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Обвезници - корисници "БИЗНИС ИНКУБАТОР ЦЕНТРА-ЈУМКО" ослобођени су плаћања локалне комуналне таксе из овог тарифног броја, за фирму истакнуту у овом инкубатору, у периоду од 3 године од дана уласка у БИЦ-ЈУМКО.</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proofErr w:type="gramStart"/>
      <w:r>
        <w:rPr>
          <w:rFonts w:ascii="Times New Roman" w:hAnsi="Times New Roman"/>
          <w:sz w:val="24"/>
        </w:rPr>
        <w:t>Уколико се на једном пословном објекту налази више истакнутих фирми истог обвезника, такса се плаћа само за једну истакнуту фирму.</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proofErr w:type="gramStart"/>
      <w:r>
        <w:rPr>
          <w:rFonts w:ascii="Times New Roman" w:hAnsi="Times New Roman"/>
          <w:sz w:val="24"/>
        </w:rPr>
        <w:lastRenderedPageBreak/>
        <w:t>Плаћање таксе на истакнуту фирму врши се месечно, у висини 1/12 годишњег износа таксе, и то до 15-тог у месецу за претходни месец, на основу решења Организационе јединице Градске управе надлежне за послове финансија.</w:t>
      </w:r>
      <w:proofErr w:type="gramEnd"/>
      <w:r>
        <w:rPr>
          <w:rFonts w:ascii="Times New Roman" w:hAnsi="Times New Roman"/>
          <w:sz w:val="24"/>
        </w:rPr>
        <w:t xml:space="preserve"> </w:t>
      </w:r>
    </w:p>
    <w:p w:rsidR="00DC6B0B" w:rsidRDefault="00DC6B0B">
      <w:pPr>
        <w:rPr>
          <w:rFonts w:ascii="Times New Roman" w:hAnsi="Times New Roman"/>
          <w:sz w:val="24"/>
        </w:rPr>
      </w:pPr>
      <w:r>
        <w:rPr>
          <w:rFonts w:ascii="Times New Roman" w:hAnsi="Times New Roman"/>
          <w:sz w:val="24"/>
        </w:rPr>
        <w:t xml:space="preserve">Приходи остварени по основу комуналне таксе из овог тарифног броја уплаћују се на уплатни рачун                                      број: 840-716111843-35, по моделу </w:t>
      </w:r>
      <w:proofErr w:type="gramStart"/>
      <w:r>
        <w:rPr>
          <w:rFonts w:ascii="Times New Roman" w:hAnsi="Times New Roman"/>
          <w:sz w:val="24"/>
        </w:rPr>
        <w:t>97  контролни</w:t>
      </w:r>
      <w:proofErr w:type="gramEnd"/>
      <w:r>
        <w:rPr>
          <w:rFonts w:ascii="Times New Roman" w:hAnsi="Times New Roman"/>
          <w:sz w:val="24"/>
        </w:rPr>
        <w:t xml:space="preserve"> број по ПИБ-у обвезника -1 14 - ПИБ обвезника.  Приходи су буџета града Врања</w:t>
      </w:r>
    </w:p>
    <w:p w:rsidR="00DC6B0B" w:rsidRDefault="00DC6B0B">
      <w:pPr>
        <w:jc w:val="center"/>
        <w:rPr>
          <w:rFonts w:ascii="Times New Roman" w:hAnsi="Times New Roman"/>
          <w:b/>
          <w:sz w:val="24"/>
        </w:rPr>
      </w:pPr>
    </w:p>
    <w:p w:rsidR="00DC6B0B" w:rsidRDefault="00DC6B0B">
      <w:pPr>
        <w:jc w:val="center"/>
        <w:rPr>
          <w:rFonts w:ascii="Times New Roman" w:hAnsi="Times New Roman"/>
          <w:sz w:val="24"/>
        </w:rPr>
      </w:pPr>
      <w:proofErr w:type="gramStart"/>
      <w:r>
        <w:rPr>
          <w:rFonts w:ascii="Times New Roman" w:hAnsi="Times New Roman"/>
          <w:b/>
          <w:sz w:val="24"/>
        </w:rPr>
        <w:t>Тарифни број 2.</w:t>
      </w:r>
      <w:proofErr w:type="gramEnd"/>
    </w:p>
    <w:p w:rsidR="00DC6B0B" w:rsidRDefault="00DC6B0B">
      <w:pPr>
        <w:rPr>
          <w:rFonts w:ascii="Times New Roman" w:hAnsi="Times New Roman"/>
          <w:sz w:val="24"/>
        </w:rPr>
      </w:pPr>
      <w:r>
        <w:rPr>
          <w:rFonts w:ascii="Times New Roman" w:hAnsi="Times New Roman"/>
          <w:sz w:val="24"/>
        </w:rPr>
        <w:t>За држање моторних возила, друмских и прикључних возила, осим пољопривредних возила и машина, плаћа се такса у годишњем износу:</w:t>
      </w:r>
    </w:p>
    <w:tbl>
      <w:tblPr>
        <w:tblW w:w="0" w:type="auto"/>
        <w:jc w:val="center"/>
        <w:tblCellMar>
          <w:left w:w="10" w:type="dxa"/>
          <w:right w:w="10" w:type="dxa"/>
        </w:tblCellMar>
        <w:tblLook w:val="0000"/>
      </w:tblPr>
      <w:tblGrid>
        <w:gridCol w:w="7113"/>
        <w:gridCol w:w="1446"/>
      </w:tblGrid>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Врста возила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spacing w:before="100" w:after="100"/>
              <w:jc w:val="center"/>
            </w:pPr>
            <w:r>
              <w:rPr>
                <w:rFonts w:ascii="Times New Roman" w:hAnsi="Times New Roman"/>
                <w:sz w:val="24"/>
              </w:rPr>
              <w:t>усклађени износ</w:t>
            </w:r>
            <w:r>
              <w:rPr>
                <w:rFonts w:ascii="Times New Roman" w:hAnsi="Times New Roman"/>
                <w:sz w:val="24"/>
              </w:rPr>
              <w:br/>
              <w:t>у динарима до</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1) за теретна возила: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 </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за камионе до 2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1.730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за камионе од 2 t до 5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2.300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за камионе од 5 t до 12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4.020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за камионе преко 12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5.740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2) за теретне и радне приколице (за путничке аутомобиле)</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570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3) за путничка возила: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 </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до 1.150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570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1.150 cm³ до 1.300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1.140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1.300 cm³ до 1.600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1.720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1.600 cm³ до 2.000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2.300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2.000 cm³ до 3.000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3.470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3.000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5.740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4) за мотоцикле:</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 </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до 125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460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125 cm³ до 250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680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250 cm³ до 500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1.140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500 cm³ до 1.200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1.390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преко 1.200 cm³</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1.720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5) за аутобусе и комби бусеве по регистрованом седишту</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50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6) за прикључна возила – теретне приколице, полуприколице и специјалне теретне приколице за превоз одређених врста терета: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 </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1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460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од 1 t до 5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800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од 5 t до 10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1.090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од 10 t до 12 t носивости</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1.500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носивости преко 12 t</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2.300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7) за вучна возила (тегљаче):</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 </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чија је снага мотора до 66 киловата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1.720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чија је снага мотора од 66 до 96 киловата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2.300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lastRenderedPageBreak/>
              <w:t>– чија је снага мотора од 96 до 132 киловата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2.900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чија је снага мотора од 132 до 177 киловата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3.470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 чија је снага мотора преко 177 киловата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4.610</w:t>
            </w:r>
          </w:p>
        </w:tc>
      </w:tr>
      <w:tr w:rsidR="00DC6B0B" w:rsidRPr="00F5747B">
        <w:trPr>
          <w:trHeight w:val="1"/>
          <w:jc w:val="center"/>
        </w:trPr>
        <w:tc>
          <w:tcPr>
            <w:tcW w:w="7113"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r>
              <w:rPr>
                <w:rFonts w:ascii="Times New Roman" w:hAnsi="Times New Roman"/>
                <w:sz w:val="24"/>
              </w:rPr>
              <w:t>8) за радна возила, специјална адаптирана возила за превоз реквизита за путујуће забаве, радње и атестирана специјализована возила за превоз пчела</w:t>
            </w:r>
          </w:p>
        </w:tc>
        <w:tc>
          <w:tcPr>
            <w:tcW w:w="1446" w:type="dxa"/>
            <w:tcBorders>
              <w:top w:val="single" w:sz="6" w:space="0" w:color="000000"/>
              <w:left w:val="single" w:sz="6" w:space="0" w:color="000000"/>
              <w:bottom w:val="single" w:sz="6" w:space="0" w:color="000000"/>
              <w:right w:val="single" w:sz="6" w:space="0" w:color="000000"/>
            </w:tcBorders>
            <w:shd w:val="clear" w:color="000000" w:fill="FFFFFF"/>
            <w:tcMar>
              <w:left w:w="74" w:type="dxa"/>
              <w:right w:w="74" w:type="dxa"/>
            </w:tcMar>
            <w:vAlign w:val="center"/>
          </w:tcPr>
          <w:p w:rsidR="00DC6B0B" w:rsidRPr="00F5747B" w:rsidRDefault="00DC6B0B">
            <w:pPr>
              <w:jc w:val="right"/>
            </w:pPr>
            <w:r>
              <w:rPr>
                <w:rFonts w:ascii="Times New Roman" w:hAnsi="Times New Roman"/>
                <w:sz w:val="24"/>
              </w:rPr>
              <w:t>1.140.</w:t>
            </w:r>
          </w:p>
        </w:tc>
      </w:tr>
    </w:tbl>
    <w:p w:rsidR="00DC6B0B" w:rsidRDefault="00DC6B0B">
      <w:pPr>
        <w:spacing w:before="100" w:after="100"/>
        <w:rPr>
          <w:rFonts w:ascii="Times New Roman" w:hAnsi="Times New Roman"/>
          <w:sz w:val="24"/>
        </w:rPr>
      </w:pPr>
      <w:r>
        <w:rPr>
          <w:rFonts w:ascii="Times New Roman" w:hAnsi="Times New Roman"/>
          <w:b/>
          <w:sz w:val="24"/>
        </w:rPr>
        <w:t xml:space="preserve">НАПОМЕНА: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Комунална такса по овом тарифном броју плаћа се приликом регистрације возила и приколице.</w:t>
      </w:r>
      <w:proofErr w:type="gramEnd"/>
      <w:r>
        <w:rPr>
          <w:rFonts w:ascii="Times New Roman" w:hAnsi="Times New Roman"/>
          <w:sz w:val="24"/>
        </w:rPr>
        <w:t xml:space="preserve"> </w:t>
      </w:r>
      <w:proofErr w:type="gramStart"/>
      <w:r>
        <w:rPr>
          <w:rFonts w:ascii="Times New Roman" w:hAnsi="Times New Roman"/>
          <w:sz w:val="24"/>
        </w:rPr>
        <w:t>Орган надлежан за регистрацију возила и приколица не може да региструје возило и приколицу без доказа о уплаћеној комуналној такси по овом тарифном броју.</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r>
        <w:rPr>
          <w:rFonts w:ascii="Times New Roman" w:hAnsi="Times New Roman"/>
          <w:sz w:val="24"/>
        </w:rPr>
        <w:t xml:space="preserve">Власници путничких аутомобила и мотоцикала - војни инвалиди, цивилни инвалиди рата и инвалиди рада са 80% или више процената телесног оштећења или код којих постоји телесно оштећење доњих екстремитета од 60 и више посто не плаћају таксу из тачке 1, 3, и 4, овог тарифног броја. </w:t>
      </w:r>
    </w:p>
    <w:p w:rsidR="00DC6B0B" w:rsidRDefault="00DC6B0B">
      <w:pPr>
        <w:spacing w:before="100" w:after="100"/>
        <w:jc w:val="both"/>
        <w:rPr>
          <w:rFonts w:ascii="Times New Roman" w:hAnsi="Times New Roman"/>
          <w:sz w:val="24"/>
        </w:rPr>
      </w:pPr>
      <w:r>
        <w:rPr>
          <w:rFonts w:ascii="Times New Roman" w:hAnsi="Times New Roman"/>
          <w:sz w:val="24"/>
        </w:rPr>
        <w:t xml:space="preserve">Највиши износи комуналне таксе из става 1 овог тарифног броја усклађују се годишње, са годишњим индексом потрошачких цена, који објављује републички орган надлежан за послове статистике, при чему се заокруживање врши тако што се износ до пет динара не узима у обзир, а износ преко пет динара заокружује на десет динара.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Приликом усклађивања највиших износа комуналне таксе, у складу са ставом 3.</w:t>
      </w:r>
      <w:proofErr w:type="gramEnd"/>
      <w:r>
        <w:rPr>
          <w:rFonts w:ascii="Times New Roman" w:hAnsi="Times New Roman"/>
          <w:sz w:val="24"/>
        </w:rPr>
        <w:t xml:space="preserve"> </w:t>
      </w:r>
      <w:proofErr w:type="gramStart"/>
      <w:r>
        <w:rPr>
          <w:rFonts w:ascii="Times New Roman" w:hAnsi="Times New Roman"/>
          <w:sz w:val="24"/>
        </w:rPr>
        <w:t>овог</w:t>
      </w:r>
      <w:proofErr w:type="gramEnd"/>
      <w:r>
        <w:rPr>
          <w:rFonts w:ascii="Times New Roman" w:hAnsi="Times New Roman"/>
          <w:sz w:val="24"/>
        </w:rPr>
        <w:t xml:space="preserve"> тарифног броја, основице за усклађивање су последњи објављени усклађени највиши износи комуналне таксе.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Влада на предлог министарства надлежног за послове финансија објављује усклађене највише износе комуналне таксе из става 1.</w:t>
      </w:r>
      <w:proofErr w:type="gramEnd"/>
      <w:r>
        <w:rPr>
          <w:rFonts w:ascii="Times New Roman" w:hAnsi="Times New Roman"/>
          <w:sz w:val="24"/>
        </w:rPr>
        <w:t xml:space="preserve"> </w:t>
      </w:r>
      <w:proofErr w:type="gramStart"/>
      <w:r>
        <w:rPr>
          <w:rFonts w:ascii="Times New Roman" w:hAnsi="Times New Roman"/>
          <w:sz w:val="24"/>
        </w:rPr>
        <w:t>овог</w:t>
      </w:r>
      <w:proofErr w:type="gramEnd"/>
      <w:r>
        <w:rPr>
          <w:rFonts w:ascii="Times New Roman" w:hAnsi="Times New Roman"/>
          <w:sz w:val="24"/>
        </w:rPr>
        <w:t xml:space="preserve"> тарифног броја.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Објављени усклађени највиши износи комуналне таксе из овог тар.</w:t>
      </w:r>
      <w:proofErr w:type="gramEnd"/>
      <w:r>
        <w:rPr>
          <w:rFonts w:ascii="Times New Roman" w:hAnsi="Times New Roman"/>
          <w:sz w:val="24"/>
        </w:rPr>
        <w:t xml:space="preserve"> </w:t>
      </w:r>
      <w:proofErr w:type="gramStart"/>
      <w:r>
        <w:rPr>
          <w:rFonts w:ascii="Times New Roman" w:hAnsi="Times New Roman"/>
          <w:sz w:val="24"/>
        </w:rPr>
        <w:t>броја</w:t>
      </w:r>
      <w:proofErr w:type="gramEnd"/>
      <w:r>
        <w:rPr>
          <w:rFonts w:ascii="Times New Roman" w:hAnsi="Times New Roman"/>
          <w:sz w:val="24"/>
        </w:rPr>
        <w:t xml:space="preserve"> примењују се од првог дана наредног месеца од дана објављивања у "Сл. гласнику Републике Србије".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Здравствене установе за санитетска возила, осим за возила у приватној својини, за превоз и за возила у служби трансфузије крви, не плаћају таксу по овом тарифном броју.</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r>
        <w:rPr>
          <w:rFonts w:ascii="Times New Roman" w:hAnsi="Times New Roman"/>
          <w:sz w:val="24"/>
        </w:rPr>
        <w:t xml:space="preserve">Предузећа која за обављање своје делатности користе цистерне за воду "ВОМА", као и предузећа и друге организације и установе које поседују цистерне за превоз питке воде не плаћају таксу по овом тарифном броју. </w:t>
      </w:r>
    </w:p>
    <w:p w:rsidR="00DC6B0B" w:rsidRDefault="00DC6B0B">
      <w:pPr>
        <w:spacing w:before="100" w:after="100"/>
        <w:jc w:val="both"/>
        <w:rPr>
          <w:rFonts w:ascii="Times New Roman" w:hAnsi="Times New Roman"/>
          <w:sz w:val="24"/>
        </w:rPr>
      </w:pPr>
      <w:r>
        <w:rPr>
          <w:rFonts w:ascii="Times New Roman" w:hAnsi="Times New Roman"/>
          <w:sz w:val="24"/>
        </w:rPr>
        <w:t xml:space="preserve">Приход остварен по основу комуналне таксе из овог тарифног броја јесте приход буџета града Врања и уплаћује се на уплатни рачун број: 840-714513843-04, по моделу 97 са позивом на број 47-114 </w:t>
      </w:r>
      <w:proofErr w:type="gramStart"/>
      <w:r>
        <w:rPr>
          <w:rFonts w:ascii="Times New Roman" w:hAnsi="Times New Roman"/>
          <w:sz w:val="24"/>
        </w:rPr>
        <w:t>или  контролни</w:t>
      </w:r>
      <w:proofErr w:type="gramEnd"/>
      <w:r>
        <w:rPr>
          <w:rFonts w:ascii="Times New Roman" w:hAnsi="Times New Roman"/>
          <w:sz w:val="24"/>
        </w:rPr>
        <w:t xml:space="preserve"> број по  ПИБ-у обвезника-114-ПИБ обвезника. </w:t>
      </w:r>
    </w:p>
    <w:p w:rsidR="00DC6B0B" w:rsidRDefault="00DC6B0B">
      <w:pPr>
        <w:spacing w:before="240" w:after="240"/>
        <w:jc w:val="center"/>
        <w:rPr>
          <w:rFonts w:ascii="Times New Roman" w:hAnsi="Times New Roman"/>
          <w:b/>
          <w:sz w:val="24"/>
        </w:rPr>
      </w:pPr>
      <w:proofErr w:type="gramStart"/>
      <w:r>
        <w:rPr>
          <w:rFonts w:ascii="Times New Roman" w:hAnsi="Times New Roman"/>
          <w:b/>
          <w:sz w:val="24"/>
        </w:rPr>
        <w:t>Тарифни број 3.</w:t>
      </w:r>
      <w:proofErr w:type="gramEnd"/>
      <w:r>
        <w:rPr>
          <w:rFonts w:ascii="Times New Roman" w:hAnsi="Times New Roman"/>
          <w:b/>
          <w:sz w:val="24"/>
        </w:rPr>
        <w:t xml:space="preserve"> </w:t>
      </w:r>
    </w:p>
    <w:p w:rsidR="00DC6B0B" w:rsidRDefault="00DC6B0B">
      <w:pPr>
        <w:spacing w:before="100" w:after="100"/>
        <w:ind w:firstLine="720"/>
        <w:jc w:val="both"/>
        <w:rPr>
          <w:rFonts w:ascii="Times New Roman" w:hAnsi="Times New Roman"/>
          <w:sz w:val="24"/>
        </w:rPr>
      </w:pPr>
      <w:r>
        <w:rPr>
          <w:rFonts w:ascii="Times New Roman" w:hAnsi="Times New Roman"/>
          <w:sz w:val="24"/>
        </w:rPr>
        <w:t>За држање средстава за игру („забавне игре</w:t>
      </w:r>
      <w:proofErr w:type="gramStart"/>
      <w:r>
        <w:rPr>
          <w:rFonts w:ascii="Times New Roman" w:hAnsi="Times New Roman"/>
          <w:sz w:val="24"/>
        </w:rPr>
        <w:t>“ на</w:t>
      </w:r>
      <w:proofErr w:type="gramEnd"/>
      <w:r>
        <w:rPr>
          <w:rFonts w:ascii="Times New Roman" w:hAnsi="Times New Roman"/>
          <w:sz w:val="24"/>
        </w:rPr>
        <w:t xml:space="preserve"> флиперима, рачунарима, стимулаторима, видео-аутоматима и другим сличним направама које се стављају у погон уз помоћ новца или жетона, као и пикадо, билијар и друге сличне игре у којима се учествује уз наплату, а у којима учесник не може да оствари добитак у новцу, стварима и услугама или правима, већ право на једну или више бесплатних игара исте врсте) утврђује се такса по средству у дневном износу од: </w:t>
      </w:r>
    </w:p>
    <w:p w:rsidR="00DC6B0B" w:rsidRDefault="00DC6B0B">
      <w:pPr>
        <w:spacing w:before="100" w:after="100"/>
        <w:ind w:firstLine="720"/>
        <w:rPr>
          <w:rFonts w:ascii="Times New Roman" w:hAnsi="Times New Roman"/>
          <w:sz w:val="24"/>
        </w:rPr>
      </w:pPr>
      <w:r>
        <w:rPr>
          <w:rFonts w:ascii="Times New Roman" w:hAnsi="Times New Roman"/>
          <w:sz w:val="24"/>
        </w:rPr>
        <w:lastRenderedPageBreak/>
        <w:t xml:space="preserve">- </w:t>
      </w:r>
      <w:proofErr w:type="gramStart"/>
      <w:r>
        <w:rPr>
          <w:rFonts w:ascii="Times New Roman" w:hAnsi="Times New Roman"/>
          <w:sz w:val="24"/>
        </w:rPr>
        <w:t>по</w:t>
      </w:r>
      <w:proofErr w:type="gramEnd"/>
      <w:r>
        <w:rPr>
          <w:rFonts w:ascii="Times New Roman" w:hAnsi="Times New Roman"/>
          <w:sz w:val="24"/>
        </w:rPr>
        <w:t xml:space="preserve"> апарату 30 динара </w:t>
      </w:r>
    </w:p>
    <w:p w:rsidR="00DC6B0B" w:rsidRDefault="00DC6B0B">
      <w:pPr>
        <w:spacing w:before="100" w:after="100"/>
        <w:rPr>
          <w:rFonts w:ascii="Times New Roman" w:hAnsi="Times New Roman"/>
          <w:sz w:val="24"/>
        </w:rPr>
      </w:pPr>
      <w:r>
        <w:rPr>
          <w:rFonts w:ascii="Times New Roman" w:hAnsi="Times New Roman"/>
          <w:b/>
          <w:sz w:val="24"/>
        </w:rPr>
        <w:t xml:space="preserve">НАПОМЕНА: </w:t>
      </w:r>
    </w:p>
    <w:p w:rsidR="00DC6B0B" w:rsidRDefault="00DC6B0B">
      <w:pPr>
        <w:spacing w:before="100" w:after="100"/>
        <w:jc w:val="both"/>
        <w:rPr>
          <w:rFonts w:ascii="Times New Roman" w:hAnsi="Times New Roman"/>
          <w:sz w:val="24"/>
        </w:rPr>
      </w:pPr>
      <w:r>
        <w:rPr>
          <w:rFonts w:ascii="Times New Roman" w:hAnsi="Times New Roman"/>
          <w:sz w:val="24"/>
        </w:rPr>
        <w:t>Обвезник таксе из овог тарифног броја је корисник простора, правно лице, предузетник или физичко лице које држи апарате за игре, односно забаву у пословном простору или ван пословног простора, а на основу решења Организационе јединице Градске управе надлежне за послове финансија – Одсек Локалне пореске администрације .</w:t>
      </w:r>
    </w:p>
    <w:p w:rsidR="00DC6B0B" w:rsidRDefault="00DC6B0B">
      <w:pPr>
        <w:spacing w:before="100" w:after="100"/>
        <w:rPr>
          <w:rFonts w:ascii="Times New Roman" w:hAnsi="Times New Roman"/>
          <w:sz w:val="24"/>
        </w:rPr>
      </w:pPr>
      <w:proofErr w:type="gramStart"/>
      <w:r>
        <w:rPr>
          <w:rFonts w:ascii="Times New Roman" w:hAnsi="Times New Roman"/>
          <w:sz w:val="24"/>
        </w:rPr>
        <w:t>Обвезник је дужан да пријави средства и апарате за забавне игре Организационој јединици Градске управе надлежној за послове финансија (Образац ЛКТЗИ).</w:t>
      </w:r>
      <w:proofErr w:type="gramEnd"/>
      <w:r>
        <w:rPr>
          <w:rFonts w:ascii="Times New Roman" w:hAnsi="Times New Roman"/>
          <w:sz w:val="24"/>
        </w:rPr>
        <w:t xml:space="preserve"> </w:t>
      </w:r>
    </w:p>
    <w:p w:rsidR="00DC6B0B" w:rsidRDefault="00DC6B0B">
      <w:pPr>
        <w:spacing w:before="100" w:after="100"/>
        <w:jc w:val="both"/>
        <w:rPr>
          <w:rFonts w:ascii="Times New Roman" w:hAnsi="Times New Roman"/>
          <w:sz w:val="24"/>
        </w:rPr>
      </w:pPr>
      <w:proofErr w:type="gramStart"/>
      <w:r>
        <w:rPr>
          <w:rFonts w:ascii="Times New Roman" w:hAnsi="Times New Roman"/>
          <w:sz w:val="24"/>
        </w:rPr>
        <w:t>Комунална такса по овом тарифном броју плаћа се месечно у висини 1/12 годишњег износа таксе и то до 15.</w:t>
      </w:r>
      <w:proofErr w:type="gramEnd"/>
      <w:r>
        <w:rPr>
          <w:rFonts w:ascii="Times New Roman" w:hAnsi="Times New Roman"/>
          <w:sz w:val="24"/>
        </w:rPr>
        <w:t xml:space="preserve"> </w:t>
      </w:r>
      <w:proofErr w:type="gramStart"/>
      <w:r>
        <w:rPr>
          <w:rFonts w:ascii="Times New Roman" w:hAnsi="Times New Roman"/>
          <w:sz w:val="24"/>
        </w:rPr>
        <w:t>у</w:t>
      </w:r>
      <w:proofErr w:type="gramEnd"/>
      <w:r>
        <w:rPr>
          <w:rFonts w:ascii="Times New Roman" w:hAnsi="Times New Roman"/>
          <w:sz w:val="24"/>
        </w:rPr>
        <w:t xml:space="preserve"> месецу за претходни месец. </w:t>
      </w:r>
    </w:p>
    <w:p w:rsidR="00DC6B0B" w:rsidRDefault="00DC6B0B">
      <w:pPr>
        <w:spacing w:before="100" w:after="100"/>
        <w:jc w:val="both"/>
        <w:rPr>
          <w:rFonts w:ascii="Times New Roman" w:hAnsi="Times New Roman"/>
          <w:sz w:val="24"/>
        </w:rPr>
      </w:pPr>
      <w:r>
        <w:rPr>
          <w:rFonts w:ascii="Times New Roman" w:hAnsi="Times New Roman"/>
          <w:sz w:val="24"/>
        </w:rPr>
        <w:t xml:space="preserve">Ова такса се плаћа на основу решења Организационе јединице Градске управе надлежне за послове финансија, сразмерно времену коришћења средстава за игру, приход је буџета града Врања и уплаћује се на рачун: 840-714572843-29, по моделу </w:t>
      </w:r>
      <w:proofErr w:type="gramStart"/>
      <w:r>
        <w:rPr>
          <w:rFonts w:ascii="Times New Roman" w:hAnsi="Times New Roman"/>
          <w:sz w:val="24"/>
        </w:rPr>
        <w:t>97  контролни</w:t>
      </w:r>
      <w:proofErr w:type="gramEnd"/>
      <w:r>
        <w:rPr>
          <w:rFonts w:ascii="Times New Roman" w:hAnsi="Times New Roman"/>
          <w:sz w:val="24"/>
        </w:rPr>
        <w:t xml:space="preserve"> број по ПИБ-у обвезника - 114-ПИБ обвезника. </w:t>
      </w:r>
    </w:p>
    <w:p w:rsidR="00DC6B0B" w:rsidRDefault="00DC6B0B">
      <w:pPr>
        <w:rPr>
          <w:rFonts w:ascii="Times New Roman" w:hAnsi="Times New Roman"/>
          <w:sz w:val="24"/>
        </w:rPr>
      </w:pPr>
      <w:proofErr w:type="gramStart"/>
      <w:r>
        <w:rPr>
          <w:rFonts w:ascii="Times New Roman" w:hAnsi="Times New Roman"/>
          <w:sz w:val="24"/>
        </w:rPr>
        <w:t>Контролу спровођења вршиће Организациона јединица Градске управе надлежна за инспекцијске послове и послове финансија.</w:t>
      </w:r>
      <w:proofErr w:type="gramEnd"/>
    </w:p>
    <w:p w:rsidR="00DC6B0B" w:rsidRDefault="00DC6B0B">
      <w:pPr>
        <w:spacing w:before="100" w:after="100"/>
        <w:jc w:val="both"/>
        <w:rPr>
          <w:rFonts w:ascii="Times New Roman" w:hAnsi="Times New Roman"/>
          <w:sz w:val="18"/>
        </w:rPr>
      </w:pPr>
      <w:r>
        <w:rPr>
          <w:rFonts w:ascii="Times New Roman" w:hAnsi="Times New Roman"/>
          <w:sz w:val="18"/>
        </w:rPr>
        <w:t xml:space="preserve"> </w:t>
      </w:r>
      <w:r>
        <w:rPr>
          <w:rFonts w:ascii="Times New Roman" w:hAnsi="Times New Roman"/>
          <w:b/>
          <w:sz w:val="24"/>
        </w:rPr>
        <w:t xml:space="preserve">                                           </w:t>
      </w:r>
    </w:p>
    <w:sectPr w:rsidR="00DC6B0B" w:rsidSect="00D70C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DD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9B5754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D23576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20F263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CEF6A3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63D53D3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7A4E4EF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0"/>
  </w:num>
  <w:num w:numId="4">
    <w:abstractNumId w:val="5"/>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04D2"/>
    <w:rsid w:val="00105A98"/>
    <w:rsid w:val="00A1349E"/>
    <w:rsid w:val="00BE7122"/>
    <w:rsid w:val="00C17522"/>
    <w:rsid w:val="00D404D2"/>
    <w:rsid w:val="00D70C35"/>
    <w:rsid w:val="00DC6B0B"/>
    <w:rsid w:val="00E279BE"/>
    <w:rsid w:val="00F574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4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2998</Words>
  <Characters>17439</Characters>
  <Application>Microsoft Office Word</Application>
  <DocSecurity>0</DocSecurity>
  <Lines>145</Lines>
  <Paragraphs>40</Paragraphs>
  <ScaleCrop>false</ScaleCrop>
  <Company/>
  <LinksUpToDate>false</LinksUpToDate>
  <CharactersWithSpaces>20397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rdjokovic</cp:lastModifiedBy>
  <cp:revision>5</cp:revision>
  <cp:lastPrinted>2019-01-28T10:07:00Z</cp:lastPrinted>
  <dcterms:created xsi:type="dcterms:W3CDTF">2019-01-18T14:50:00Z</dcterms:created>
  <dcterms:modified xsi:type="dcterms:W3CDTF">2019-01-28T10:08:00Z</dcterms:modified>
</cp:coreProperties>
</file>